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Borders>
          <w:top w:val="single" w:sz="6" w:space="0" w:color="FFFFFF"/>
          <w:left w:val="single" w:sz="6" w:space="0" w:color="FFFFFF"/>
          <w:bottom w:val="single" w:sz="12" w:space="0" w:color="0D2B88"/>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1998"/>
        <w:gridCol w:w="4500"/>
        <w:gridCol w:w="3078"/>
      </w:tblGrid>
      <w:tr w:rsidR="001321C3">
        <w:tc>
          <w:tcPr>
            <w:tcW w:w="6498" w:type="dxa"/>
            <w:gridSpan w:val="2"/>
            <w:tcBorders>
              <w:bottom w:val="single" w:sz="12" w:space="0" w:color="0D2B88"/>
            </w:tcBorders>
            <w:tcMar>
              <w:bottom w:w="29" w:type="dxa"/>
            </w:tcMar>
            <w:vAlign w:val="bottom"/>
          </w:tcPr>
          <w:p w:rsidR="001321C3" w:rsidRPr="00D76E4B" w:rsidRDefault="00DF38C5" w:rsidP="00B24CFC">
            <w:pPr>
              <w:pStyle w:val="Title"/>
              <w:rPr>
                <w:rFonts w:cs="Arial"/>
                <w:color w:val="0D2B88"/>
                <w:sz w:val="36"/>
                <w:szCs w:val="36"/>
              </w:rPr>
            </w:pPr>
            <w:r w:rsidRPr="00D76E4B">
              <w:rPr>
                <w:rFonts w:cs="Arial"/>
                <w:color w:val="0D2B88"/>
                <w:sz w:val="36"/>
                <w:szCs w:val="36"/>
              </w:rPr>
              <w:t xml:space="preserve">Engineering </w:t>
            </w:r>
            <w:r w:rsidR="001018D2" w:rsidRPr="00D76E4B">
              <w:rPr>
                <w:rFonts w:cs="Arial"/>
                <w:color w:val="0D2B88"/>
                <w:sz w:val="36"/>
                <w:szCs w:val="36"/>
              </w:rPr>
              <w:t xml:space="preserve">Technical </w:t>
            </w:r>
            <w:r w:rsidRPr="00D76E4B">
              <w:rPr>
                <w:rFonts w:cs="Arial"/>
                <w:color w:val="0D2B88"/>
                <w:sz w:val="36"/>
                <w:szCs w:val="36"/>
              </w:rPr>
              <w:t>Report</w:t>
            </w:r>
          </w:p>
        </w:tc>
        <w:tc>
          <w:tcPr>
            <w:tcW w:w="3078" w:type="dxa"/>
            <w:tcBorders>
              <w:bottom w:val="single" w:sz="12" w:space="0" w:color="0D2B88"/>
            </w:tcBorders>
            <w:tcMar>
              <w:left w:w="0" w:type="dxa"/>
              <w:bottom w:w="29" w:type="dxa"/>
              <w:right w:w="0" w:type="dxa"/>
            </w:tcMar>
            <w:vAlign w:val="center"/>
          </w:tcPr>
          <w:p w:rsidR="001321C3" w:rsidRDefault="001321C3" w:rsidP="00F02F8B">
            <w:pPr>
              <w:pStyle w:val="Title"/>
              <w:tabs>
                <w:tab w:val="right" w:pos="9360"/>
              </w:tabs>
              <w:jc w:val="right"/>
            </w:pPr>
          </w:p>
        </w:tc>
      </w:tr>
      <w:tr w:rsidR="001321C3">
        <w:trPr>
          <w:trHeight w:val="288"/>
        </w:trPr>
        <w:tc>
          <w:tcPr>
            <w:tcW w:w="9576" w:type="dxa"/>
            <w:gridSpan w:val="3"/>
            <w:tcBorders>
              <w:top w:val="single" w:sz="12" w:space="0" w:color="0D2B88"/>
              <w:bottom w:val="single" w:sz="36" w:space="0" w:color="FFFFFF"/>
            </w:tcBorders>
            <w:tcMar>
              <w:top w:w="14" w:type="dxa"/>
              <w:left w:w="115" w:type="dxa"/>
              <w:right w:w="115" w:type="dxa"/>
            </w:tcMar>
            <w:vAlign w:val="bottom"/>
          </w:tcPr>
          <w:p w:rsidR="001321C3" w:rsidRPr="00596EB5" w:rsidRDefault="001321C3" w:rsidP="00596EB5">
            <w:pPr>
              <w:pStyle w:val="Title"/>
              <w:rPr>
                <w:color w:val="auto"/>
                <w:sz w:val="22"/>
                <w:szCs w:val="22"/>
              </w:rPr>
            </w:pPr>
            <w:r w:rsidRPr="00596EB5">
              <w:rPr>
                <w:color w:val="auto"/>
                <w:sz w:val="22"/>
                <w:szCs w:val="22"/>
              </w:rPr>
              <w:fldChar w:fldCharType="begin"/>
            </w:r>
            <w:r w:rsidRPr="00596EB5">
              <w:rPr>
                <w:color w:val="auto"/>
                <w:sz w:val="22"/>
                <w:szCs w:val="22"/>
              </w:rPr>
              <w:instrText xml:space="preserve"> TITLE  \* MERGEFORMAT </w:instrText>
            </w:r>
            <w:r w:rsidRPr="00596EB5">
              <w:rPr>
                <w:color w:val="auto"/>
                <w:sz w:val="22"/>
                <w:szCs w:val="22"/>
              </w:rPr>
              <w:fldChar w:fldCharType="separate"/>
            </w:r>
            <w:r w:rsidR="00C26617">
              <w:rPr>
                <w:color w:val="auto"/>
                <w:sz w:val="22"/>
                <w:szCs w:val="22"/>
              </w:rPr>
              <w:t>Sunnyslope County Water District</w:t>
            </w:r>
            <w:r w:rsidRPr="00596EB5">
              <w:rPr>
                <w:color w:val="auto"/>
                <w:sz w:val="22"/>
                <w:szCs w:val="22"/>
              </w:rPr>
              <w:fldChar w:fldCharType="end"/>
            </w:r>
          </w:p>
        </w:tc>
      </w:tr>
      <w:tr w:rsidR="004E4E90">
        <w:trPr>
          <w:trHeight w:val="288"/>
        </w:trPr>
        <w:tc>
          <w:tcPr>
            <w:tcW w:w="1998" w:type="dxa"/>
            <w:tcBorders>
              <w:top w:val="single" w:sz="36" w:space="0" w:color="FFFFFF"/>
              <w:left w:val="single" w:sz="6" w:space="0" w:color="FFFFFF"/>
              <w:bottom w:val="single" w:sz="36" w:space="0" w:color="FFFFFF"/>
              <w:right w:val="single" w:sz="6" w:space="0" w:color="FFFFFF"/>
            </w:tcBorders>
            <w:vAlign w:val="bottom"/>
          </w:tcPr>
          <w:p w:rsidR="004E4E90" w:rsidRDefault="004E4E90" w:rsidP="001247B5">
            <w:pPr>
              <w:pStyle w:val="tabletext"/>
              <w:jc w:val="right"/>
              <w:rPr>
                <w:b/>
                <w:bCs/>
              </w:rPr>
            </w:pPr>
            <w:r>
              <w:rPr>
                <w:b/>
                <w:bCs/>
              </w:rPr>
              <w:t>Subject:</w:t>
            </w:r>
          </w:p>
        </w:tc>
        <w:tc>
          <w:tcPr>
            <w:tcW w:w="7578" w:type="dxa"/>
            <w:gridSpan w:val="2"/>
            <w:tcBorders>
              <w:top w:val="single" w:sz="36" w:space="0" w:color="FFFFFF"/>
              <w:left w:val="single" w:sz="6" w:space="0" w:color="FFFFFF"/>
              <w:bottom w:val="single" w:sz="36" w:space="0" w:color="FFFFFF"/>
              <w:right w:val="single" w:sz="6" w:space="0" w:color="FFFFFF"/>
            </w:tcBorders>
            <w:vAlign w:val="bottom"/>
          </w:tcPr>
          <w:p w:rsidR="004E4E90" w:rsidRDefault="003B402A" w:rsidP="00744B33">
            <w:pPr>
              <w:pStyle w:val="tabletext"/>
              <w:jc w:val="left"/>
              <w:rPr>
                <w:rFonts w:cs="Arial"/>
                <w:b/>
                <w:bCs/>
              </w:rPr>
            </w:pPr>
            <w:r>
              <w:rPr>
                <w:rFonts w:cs="Arial"/>
                <w:b/>
                <w:bCs/>
              </w:rPr>
              <w:t>2019</w:t>
            </w:r>
            <w:r w:rsidR="00DF38C5">
              <w:rPr>
                <w:rFonts w:cs="Arial"/>
                <w:b/>
                <w:bCs/>
              </w:rPr>
              <w:t xml:space="preserve"> Annual Engineering Technical Report</w:t>
            </w:r>
          </w:p>
        </w:tc>
      </w:tr>
      <w:tr w:rsidR="004E4E90">
        <w:trPr>
          <w:trHeight w:val="288"/>
        </w:trPr>
        <w:tc>
          <w:tcPr>
            <w:tcW w:w="1998" w:type="dxa"/>
            <w:tcBorders>
              <w:top w:val="single" w:sz="36" w:space="0" w:color="FFFFFF"/>
              <w:bottom w:val="single" w:sz="36" w:space="0" w:color="FFFFFF"/>
            </w:tcBorders>
            <w:vAlign w:val="bottom"/>
          </w:tcPr>
          <w:p w:rsidR="004E4E90" w:rsidRDefault="004E4E90" w:rsidP="001247B5">
            <w:pPr>
              <w:pStyle w:val="tabletext"/>
              <w:jc w:val="right"/>
              <w:rPr>
                <w:b/>
                <w:bCs/>
              </w:rPr>
            </w:pPr>
            <w:r>
              <w:rPr>
                <w:b/>
                <w:bCs/>
              </w:rPr>
              <w:t>Prepared For:</w:t>
            </w:r>
          </w:p>
        </w:tc>
        <w:tc>
          <w:tcPr>
            <w:tcW w:w="7578" w:type="dxa"/>
            <w:gridSpan w:val="2"/>
            <w:tcBorders>
              <w:top w:val="single" w:sz="36" w:space="0" w:color="FFFFFF"/>
              <w:bottom w:val="single" w:sz="36" w:space="0" w:color="FFFFFF"/>
            </w:tcBorders>
            <w:vAlign w:val="bottom"/>
          </w:tcPr>
          <w:p w:rsidR="004E4E90" w:rsidRDefault="00DF38C5" w:rsidP="00744B33">
            <w:pPr>
              <w:pStyle w:val="tabletext"/>
              <w:jc w:val="left"/>
              <w:rPr>
                <w:rFonts w:cs="Arial"/>
              </w:rPr>
            </w:pPr>
            <w:r>
              <w:rPr>
                <w:rFonts w:cs="Arial"/>
              </w:rPr>
              <w:t>Regional Water Quality Control Board</w:t>
            </w:r>
          </w:p>
        </w:tc>
      </w:tr>
      <w:tr w:rsidR="003B402A">
        <w:trPr>
          <w:trHeight w:val="288"/>
        </w:trPr>
        <w:tc>
          <w:tcPr>
            <w:tcW w:w="1998" w:type="dxa"/>
            <w:tcBorders>
              <w:top w:val="single" w:sz="36" w:space="0" w:color="FFFFFF"/>
              <w:bottom w:val="single" w:sz="36" w:space="0" w:color="FFFFFF"/>
            </w:tcBorders>
            <w:vAlign w:val="bottom"/>
          </w:tcPr>
          <w:p w:rsidR="003B402A" w:rsidRDefault="003B402A" w:rsidP="001247B5">
            <w:pPr>
              <w:pStyle w:val="tabletext"/>
              <w:jc w:val="right"/>
              <w:rPr>
                <w:b/>
                <w:bCs/>
              </w:rPr>
            </w:pPr>
            <w:r>
              <w:rPr>
                <w:b/>
                <w:bCs/>
              </w:rPr>
              <w:t>Certified by:</w:t>
            </w:r>
          </w:p>
        </w:tc>
        <w:tc>
          <w:tcPr>
            <w:tcW w:w="7578" w:type="dxa"/>
            <w:gridSpan w:val="2"/>
            <w:tcBorders>
              <w:top w:val="single" w:sz="36" w:space="0" w:color="FFFFFF"/>
              <w:bottom w:val="single" w:sz="36" w:space="0" w:color="FFFFFF"/>
            </w:tcBorders>
            <w:vAlign w:val="bottom"/>
          </w:tcPr>
          <w:p w:rsidR="003B402A" w:rsidRDefault="003B402A" w:rsidP="00744B33">
            <w:pPr>
              <w:pStyle w:val="tabletext"/>
              <w:jc w:val="left"/>
              <w:rPr>
                <w:rFonts w:cs="Arial"/>
              </w:rPr>
            </w:pPr>
            <w:r>
              <w:rPr>
                <w:rFonts w:cs="Arial"/>
              </w:rPr>
              <w:t>Drew Lander, P.E. 79561 (Expires 9/30/2020), General Manager</w:t>
            </w:r>
          </w:p>
        </w:tc>
      </w:tr>
      <w:tr w:rsidR="004E4E90">
        <w:trPr>
          <w:trHeight w:val="288"/>
        </w:trPr>
        <w:tc>
          <w:tcPr>
            <w:tcW w:w="1998" w:type="dxa"/>
            <w:tcBorders>
              <w:bottom w:val="single" w:sz="36" w:space="0" w:color="FFFFFF"/>
            </w:tcBorders>
            <w:vAlign w:val="bottom"/>
          </w:tcPr>
          <w:p w:rsidR="004E4E90" w:rsidRDefault="004E4E90" w:rsidP="001247B5">
            <w:pPr>
              <w:pStyle w:val="tabletext"/>
              <w:jc w:val="right"/>
              <w:rPr>
                <w:b/>
                <w:bCs/>
              </w:rPr>
            </w:pPr>
            <w:r>
              <w:rPr>
                <w:b/>
                <w:bCs/>
              </w:rPr>
              <w:t>Prepared by:</w:t>
            </w:r>
          </w:p>
        </w:tc>
        <w:tc>
          <w:tcPr>
            <w:tcW w:w="7578" w:type="dxa"/>
            <w:gridSpan w:val="2"/>
            <w:tcBorders>
              <w:bottom w:val="single" w:sz="36" w:space="0" w:color="FFFFFF"/>
            </w:tcBorders>
            <w:vAlign w:val="bottom"/>
          </w:tcPr>
          <w:p w:rsidR="004E4E90" w:rsidRDefault="003B402A" w:rsidP="003B402A">
            <w:pPr>
              <w:pStyle w:val="tabletext"/>
              <w:jc w:val="left"/>
            </w:pPr>
            <w:r>
              <w:rPr>
                <w:rFonts w:cs="Arial"/>
              </w:rPr>
              <w:t>Rob Hillebrecht</w:t>
            </w:r>
            <w:r w:rsidR="00A548A6">
              <w:rPr>
                <w:rFonts w:cs="Arial"/>
              </w:rPr>
              <w:t>, P</w:t>
            </w:r>
            <w:r>
              <w:rPr>
                <w:rFonts w:cs="Arial"/>
              </w:rPr>
              <w:t>.</w:t>
            </w:r>
            <w:r w:rsidR="00A548A6">
              <w:rPr>
                <w:rFonts w:cs="Arial"/>
              </w:rPr>
              <w:t>E</w:t>
            </w:r>
            <w:r>
              <w:rPr>
                <w:rFonts w:cs="Arial"/>
              </w:rPr>
              <w:t>.</w:t>
            </w:r>
            <w:r w:rsidR="00A548A6">
              <w:rPr>
                <w:rFonts w:cs="Arial"/>
              </w:rPr>
              <w:t xml:space="preserve"> </w:t>
            </w:r>
            <w:r>
              <w:rPr>
                <w:rFonts w:cs="Arial"/>
              </w:rPr>
              <w:t>88972</w:t>
            </w:r>
            <w:r w:rsidR="00A548A6">
              <w:rPr>
                <w:rFonts w:cs="Arial"/>
              </w:rPr>
              <w:t xml:space="preserve"> (Expires </w:t>
            </w:r>
            <w:r>
              <w:rPr>
                <w:rFonts w:cs="Arial"/>
              </w:rPr>
              <w:t>9</w:t>
            </w:r>
            <w:r w:rsidR="002764EF">
              <w:rPr>
                <w:rFonts w:cs="Arial"/>
              </w:rPr>
              <w:t>/30/2020</w:t>
            </w:r>
            <w:r w:rsidR="00A548A6">
              <w:rPr>
                <w:rFonts w:cs="Arial"/>
              </w:rPr>
              <w:t>)</w:t>
            </w:r>
            <w:r>
              <w:rPr>
                <w:rFonts w:cs="Arial"/>
              </w:rPr>
              <w:t>, Associate Engineer</w:t>
            </w:r>
          </w:p>
        </w:tc>
      </w:tr>
      <w:tr w:rsidR="001321C3" w:rsidTr="00661C64">
        <w:trPr>
          <w:trHeight w:val="288"/>
        </w:trPr>
        <w:tc>
          <w:tcPr>
            <w:tcW w:w="1998" w:type="dxa"/>
            <w:tcBorders>
              <w:top w:val="single" w:sz="36" w:space="0" w:color="FFFFFF"/>
              <w:bottom w:val="single" w:sz="36" w:space="0" w:color="FFFFFF"/>
            </w:tcBorders>
          </w:tcPr>
          <w:p w:rsidR="001321C3" w:rsidRDefault="001321C3" w:rsidP="00661C64">
            <w:pPr>
              <w:pStyle w:val="tabletext"/>
              <w:jc w:val="right"/>
              <w:rPr>
                <w:b/>
                <w:bCs/>
              </w:rPr>
            </w:pPr>
            <w:r>
              <w:rPr>
                <w:b/>
                <w:bCs/>
              </w:rPr>
              <w:t>Reviewed by:</w:t>
            </w:r>
          </w:p>
        </w:tc>
        <w:tc>
          <w:tcPr>
            <w:tcW w:w="7578" w:type="dxa"/>
            <w:gridSpan w:val="2"/>
            <w:tcBorders>
              <w:top w:val="single" w:sz="36" w:space="0" w:color="FFFFFF"/>
              <w:bottom w:val="single" w:sz="36" w:space="0" w:color="FFFFFF"/>
            </w:tcBorders>
            <w:vAlign w:val="bottom"/>
          </w:tcPr>
          <w:p w:rsidR="001321C3" w:rsidRDefault="003B402A" w:rsidP="001A4886">
            <w:pPr>
              <w:pStyle w:val="tabletext"/>
              <w:jc w:val="left"/>
              <w:rPr>
                <w:rFonts w:cs="Arial"/>
              </w:rPr>
            </w:pPr>
            <w:r>
              <w:rPr>
                <w:rFonts w:cs="Arial"/>
              </w:rPr>
              <w:t>Jose Rodriguez, Water &amp; Wastewater Superintendent</w:t>
            </w:r>
          </w:p>
        </w:tc>
      </w:tr>
      <w:tr w:rsidR="001321C3">
        <w:trPr>
          <w:trHeight w:val="288"/>
        </w:trPr>
        <w:tc>
          <w:tcPr>
            <w:tcW w:w="1998" w:type="dxa"/>
            <w:tcBorders>
              <w:top w:val="single" w:sz="36" w:space="0" w:color="FFFFFF"/>
              <w:bottom w:val="single" w:sz="36" w:space="0" w:color="FFFFFF"/>
            </w:tcBorders>
            <w:vAlign w:val="bottom"/>
          </w:tcPr>
          <w:p w:rsidR="001321C3" w:rsidRDefault="001321C3" w:rsidP="00744B33">
            <w:pPr>
              <w:pStyle w:val="tabletext"/>
              <w:jc w:val="right"/>
              <w:rPr>
                <w:b/>
                <w:bCs/>
              </w:rPr>
            </w:pPr>
            <w:r>
              <w:rPr>
                <w:b/>
                <w:bCs/>
              </w:rPr>
              <w:t>Date:</w:t>
            </w:r>
          </w:p>
        </w:tc>
        <w:tc>
          <w:tcPr>
            <w:tcW w:w="7578" w:type="dxa"/>
            <w:gridSpan w:val="2"/>
            <w:tcBorders>
              <w:top w:val="single" w:sz="36" w:space="0" w:color="FFFFFF"/>
              <w:bottom w:val="single" w:sz="36" w:space="0" w:color="FFFFFF"/>
            </w:tcBorders>
            <w:vAlign w:val="bottom"/>
          </w:tcPr>
          <w:p w:rsidR="001321C3" w:rsidRDefault="004B7F7E" w:rsidP="003B402A">
            <w:pPr>
              <w:pStyle w:val="tabletext"/>
              <w:jc w:val="left"/>
              <w:rPr>
                <w:rFonts w:cs="Arial"/>
              </w:rPr>
            </w:pPr>
            <w:r>
              <w:rPr>
                <w:rFonts w:cs="Arial"/>
              </w:rPr>
              <w:t xml:space="preserve">January </w:t>
            </w:r>
            <w:r w:rsidR="002E51AD">
              <w:rPr>
                <w:rFonts w:cs="Arial"/>
              </w:rPr>
              <w:t>21</w:t>
            </w:r>
            <w:r w:rsidR="002E3C98">
              <w:rPr>
                <w:rFonts w:cs="Arial"/>
              </w:rPr>
              <w:t>,</w:t>
            </w:r>
            <w:r w:rsidR="007A0EC4">
              <w:rPr>
                <w:rFonts w:cs="Arial"/>
              </w:rPr>
              <w:t xml:space="preserve"> 20</w:t>
            </w:r>
            <w:r w:rsidR="003B402A">
              <w:rPr>
                <w:rFonts w:cs="Arial"/>
              </w:rPr>
              <w:t>20</w:t>
            </w:r>
          </w:p>
        </w:tc>
      </w:tr>
      <w:tr w:rsidR="004E4E90">
        <w:trPr>
          <w:trHeight w:val="288"/>
        </w:trPr>
        <w:tc>
          <w:tcPr>
            <w:tcW w:w="1998" w:type="dxa"/>
            <w:tcBorders>
              <w:top w:val="single" w:sz="36" w:space="0" w:color="FFFFFF"/>
              <w:bottom w:val="single" w:sz="36" w:space="0" w:color="FFFFFF"/>
            </w:tcBorders>
            <w:vAlign w:val="bottom"/>
          </w:tcPr>
          <w:p w:rsidR="004E4E90" w:rsidRDefault="004E4E90" w:rsidP="00744B33">
            <w:pPr>
              <w:pStyle w:val="tabletext"/>
              <w:jc w:val="right"/>
              <w:rPr>
                <w:b/>
                <w:bCs/>
              </w:rPr>
            </w:pPr>
          </w:p>
        </w:tc>
        <w:tc>
          <w:tcPr>
            <w:tcW w:w="7578" w:type="dxa"/>
            <w:gridSpan w:val="2"/>
            <w:tcBorders>
              <w:top w:val="single" w:sz="36" w:space="0" w:color="FFFFFF"/>
              <w:bottom w:val="single" w:sz="36" w:space="0" w:color="FFFFFF"/>
            </w:tcBorders>
            <w:vAlign w:val="bottom"/>
          </w:tcPr>
          <w:p w:rsidR="004E4E90" w:rsidRDefault="004E4E90" w:rsidP="00744B33">
            <w:pPr>
              <w:pStyle w:val="tabletext"/>
              <w:jc w:val="left"/>
              <w:rPr>
                <w:rFonts w:cs="Arial"/>
              </w:rPr>
            </w:pPr>
          </w:p>
        </w:tc>
      </w:tr>
      <w:tr w:rsidR="001321C3">
        <w:trPr>
          <w:trHeight w:hRule="exact" w:val="120"/>
        </w:trPr>
        <w:tc>
          <w:tcPr>
            <w:tcW w:w="1998" w:type="dxa"/>
            <w:tcBorders>
              <w:top w:val="single" w:sz="36" w:space="0" w:color="FFFFFF"/>
            </w:tcBorders>
            <w:vAlign w:val="bottom"/>
          </w:tcPr>
          <w:p w:rsidR="001321C3" w:rsidRDefault="001321C3" w:rsidP="00FC6CC1">
            <w:pPr>
              <w:pStyle w:val="tabletext"/>
              <w:jc w:val="left"/>
            </w:pPr>
          </w:p>
        </w:tc>
        <w:tc>
          <w:tcPr>
            <w:tcW w:w="7578" w:type="dxa"/>
            <w:gridSpan w:val="2"/>
            <w:tcBorders>
              <w:top w:val="single" w:sz="36" w:space="0" w:color="FFFFFF"/>
            </w:tcBorders>
            <w:vAlign w:val="bottom"/>
          </w:tcPr>
          <w:p w:rsidR="001321C3" w:rsidRDefault="001321C3" w:rsidP="00744B33">
            <w:pPr>
              <w:pStyle w:val="tabletext"/>
              <w:rPr>
                <w:rFonts w:ascii="Arial Narrow" w:hAnsi="Arial Narrow"/>
                <w:sz w:val="24"/>
              </w:rPr>
            </w:pPr>
          </w:p>
        </w:tc>
      </w:tr>
    </w:tbl>
    <w:p w:rsidR="00DA03DF" w:rsidRDefault="007A0EC4" w:rsidP="007A0EC4">
      <w:pPr>
        <w:pStyle w:val="BodyText"/>
        <w:spacing w:before="120"/>
        <w:rPr>
          <w:rFonts w:cs="Arial"/>
          <w:szCs w:val="22"/>
        </w:rPr>
      </w:pPr>
      <w:r w:rsidRPr="00BD3475">
        <w:rPr>
          <w:rFonts w:cs="Arial"/>
          <w:szCs w:val="22"/>
        </w:rPr>
        <w:t xml:space="preserve">The purpose of this Technical Memorandum (TM) is to meet the Annual </w:t>
      </w:r>
      <w:r>
        <w:rPr>
          <w:rFonts w:cs="Arial"/>
          <w:szCs w:val="22"/>
        </w:rPr>
        <w:t>Engineering</w:t>
      </w:r>
      <w:r w:rsidRPr="00BD3475">
        <w:rPr>
          <w:rFonts w:cs="Arial"/>
          <w:szCs w:val="22"/>
        </w:rPr>
        <w:t xml:space="preserve"> Report requirements of the Regional Water Quality Control Board (RWQCB) Waste Discharge Requirement (WDR) Order No. R3-2004-0065 (December 3, 2004).  </w:t>
      </w:r>
    </w:p>
    <w:p w:rsidR="007A0EC4" w:rsidRDefault="007A0EC4" w:rsidP="007A0EC4">
      <w:pPr>
        <w:pStyle w:val="BodyText"/>
        <w:spacing w:before="120"/>
        <w:rPr>
          <w:rFonts w:cs="Arial"/>
          <w:szCs w:val="22"/>
        </w:rPr>
      </w:pPr>
      <w:r w:rsidRPr="00BD3475">
        <w:rPr>
          <w:rFonts w:cs="Arial"/>
          <w:szCs w:val="22"/>
        </w:rPr>
        <w:t xml:space="preserve">Annual </w:t>
      </w:r>
      <w:r>
        <w:rPr>
          <w:rFonts w:cs="Arial"/>
          <w:szCs w:val="22"/>
        </w:rPr>
        <w:t>Engineering</w:t>
      </w:r>
      <w:r w:rsidRPr="00BD3475">
        <w:rPr>
          <w:rFonts w:cs="Arial"/>
          <w:szCs w:val="22"/>
        </w:rPr>
        <w:t xml:space="preserve"> Reports must be submitted by January 30</w:t>
      </w:r>
      <w:r w:rsidRPr="00BD3475">
        <w:rPr>
          <w:rFonts w:cs="Arial"/>
          <w:szCs w:val="22"/>
          <w:vertAlign w:val="superscript"/>
        </w:rPr>
        <w:t>th</w:t>
      </w:r>
      <w:r w:rsidRPr="00BD3475">
        <w:rPr>
          <w:rFonts w:cs="Arial"/>
          <w:szCs w:val="22"/>
        </w:rPr>
        <w:t xml:space="preserve"> every year commencing in 2006.</w:t>
      </w:r>
      <w:r w:rsidR="006324F0">
        <w:rPr>
          <w:rFonts w:cs="Arial"/>
          <w:szCs w:val="22"/>
        </w:rPr>
        <w:t xml:space="preserve"> The report will evaluate the performance and capacity of the wastewater treatment and disposal system. The report shall contain a hydraulic balance analysis of facility inputs and outputs including influent flow, precipitation, infiltration/percolation, and evaporation for both facilities and shall quantify disposal capacity of the facility based on actual operating data. The reports shall be prepared </w:t>
      </w:r>
      <w:r w:rsidR="007A02E2">
        <w:rPr>
          <w:rFonts w:cs="Arial"/>
          <w:szCs w:val="22"/>
        </w:rPr>
        <w:t xml:space="preserve">and certified </w:t>
      </w:r>
      <w:r w:rsidR="006324F0">
        <w:rPr>
          <w:rFonts w:cs="Arial"/>
          <w:szCs w:val="22"/>
        </w:rPr>
        <w:t xml:space="preserve">by, or under the supervision/review of a registered professional engineer registered in California and </w:t>
      </w:r>
      <w:r w:rsidR="00804CA5">
        <w:rPr>
          <w:rFonts w:cs="Arial"/>
          <w:szCs w:val="22"/>
        </w:rPr>
        <w:t>p</w:t>
      </w:r>
      <w:r w:rsidR="006324F0">
        <w:rPr>
          <w:rFonts w:cs="Arial"/>
          <w:szCs w:val="22"/>
        </w:rPr>
        <w:t xml:space="preserve">ossessing applicable experience in wastewater engineering and planning. </w:t>
      </w:r>
    </w:p>
    <w:p w:rsidR="003854C7" w:rsidRDefault="003854C7" w:rsidP="00210402">
      <w:pPr>
        <w:pStyle w:val="TOC1"/>
        <w:rPr>
          <w:sz w:val="24"/>
        </w:rPr>
      </w:pPr>
      <w:r>
        <w:rPr>
          <w:rFonts w:ascii="Times" w:hAnsi="Times"/>
        </w:rPr>
        <w:fldChar w:fldCharType="begin"/>
      </w:r>
      <w:r>
        <w:rPr>
          <w:rFonts w:ascii="Times" w:hAnsi="Times"/>
        </w:rPr>
        <w:instrText xml:space="preserve"> TOC \o "1-2" \h \z \u </w:instrText>
      </w:r>
      <w:r>
        <w:rPr>
          <w:rFonts w:ascii="Times" w:hAnsi="Times"/>
        </w:rPr>
        <w:fldChar w:fldCharType="separate"/>
      </w:r>
      <w:hyperlink w:anchor="_Toc125348624" w:history="1">
        <w:r w:rsidRPr="001068D2">
          <w:rPr>
            <w:rStyle w:val="Hyperlink"/>
          </w:rPr>
          <w:t>1</w:t>
        </w:r>
        <w:r>
          <w:rPr>
            <w:sz w:val="24"/>
          </w:rPr>
          <w:tab/>
        </w:r>
        <w:r w:rsidRPr="001068D2">
          <w:rPr>
            <w:rStyle w:val="Hyperlink"/>
          </w:rPr>
          <w:t>Introduction</w:t>
        </w:r>
        <w:r>
          <w:rPr>
            <w:webHidden/>
          </w:rPr>
          <w:tab/>
        </w:r>
        <w:r>
          <w:rPr>
            <w:webHidden/>
          </w:rPr>
          <w:fldChar w:fldCharType="begin"/>
        </w:r>
        <w:r>
          <w:rPr>
            <w:webHidden/>
          </w:rPr>
          <w:instrText xml:space="preserve"> PAGEREF _Toc125348624 \h </w:instrText>
        </w:r>
        <w:r>
          <w:rPr>
            <w:webHidden/>
          </w:rPr>
        </w:r>
        <w:r>
          <w:rPr>
            <w:webHidden/>
          </w:rPr>
          <w:fldChar w:fldCharType="separate"/>
        </w:r>
        <w:r w:rsidR="0009663A">
          <w:rPr>
            <w:webHidden/>
          </w:rPr>
          <w:t>1</w:t>
        </w:r>
        <w:r>
          <w:rPr>
            <w:webHidden/>
          </w:rPr>
          <w:fldChar w:fldCharType="end"/>
        </w:r>
      </w:hyperlink>
    </w:p>
    <w:p w:rsidR="003854C7" w:rsidRDefault="0009663A" w:rsidP="00210402">
      <w:pPr>
        <w:pStyle w:val="TOC1"/>
        <w:rPr>
          <w:sz w:val="24"/>
        </w:rPr>
      </w:pPr>
      <w:hyperlink w:anchor="_Toc125348625" w:history="1">
        <w:r w:rsidR="003854C7" w:rsidRPr="001068D2">
          <w:rPr>
            <w:rStyle w:val="Hyperlink"/>
          </w:rPr>
          <w:t>2</w:t>
        </w:r>
        <w:r w:rsidR="003854C7">
          <w:rPr>
            <w:sz w:val="24"/>
          </w:rPr>
          <w:tab/>
        </w:r>
        <w:r w:rsidR="00B563E6">
          <w:rPr>
            <w:rStyle w:val="Hyperlink"/>
          </w:rPr>
          <w:t>Capital Project</w:t>
        </w:r>
        <w:r w:rsidR="003854C7" w:rsidRPr="001068D2">
          <w:rPr>
            <w:rStyle w:val="Hyperlink"/>
          </w:rPr>
          <w:t xml:space="preserve"> Activities</w:t>
        </w:r>
        <w:r w:rsidR="003854C7">
          <w:rPr>
            <w:webHidden/>
          </w:rPr>
          <w:tab/>
        </w:r>
        <w:r w:rsidR="003854C7">
          <w:rPr>
            <w:webHidden/>
          </w:rPr>
          <w:fldChar w:fldCharType="begin"/>
        </w:r>
        <w:r w:rsidR="003854C7">
          <w:rPr>
            <w:webHidden/>
          </w:rPr>
          <w:instrText xml:space="preserve"> PAGEREF _Toc125348625 \h </w:instrText>
        </w:r>
        <w:r w:rsidR="003854C7">
          <w:rPr>
            <w:webHidden/>
          </w:rPr>
        </w:r>
        <w:r w:rsidR="003854C7">
          <w:rPr>
            <w:webHidden/>
          </w:rPr>
          <w:fldChar w:fldCharType="separate"/>
        </w:r>
        <w:r>
          <w:rPr>
            <w:webHidden/>
          </w:rPr>
          <w:t>2</w:t>
        </w:r>
        <w:r w:rsidR="003854C7">
          <w:rPr>
            <w:webHidden/>
          </w:rPr>
          <w:fldChar w:fldCharType="end"/>
        </w:r>
      </w:hyperlink>
    </w:p>
    <w:p w:rsidR="003854C7" w:rsidRDefault="0009663A" w:rsidP="00210402">
      <w:pPr>
        <w:pStyle w:val="TOC1"/>
        <w:rPr>
          <w:sz w:val="24"/>
        </w:rPr>
      </w:pPr>
      <w:hyperlink w:anchor="_Toc125348626" w:history="1">
        <w:r w:rsidR="003854C7" w:rsidRPr="001068D2">
          <w:rPr>
            <w:rStyle w:val="Hyperlink"/>
          </w:rPr>
          <w:t>3</w:t>
        </w:r>
        <w:r w:rsidR="003854C7">
          <w:rPr>
            <w:sz w:val="24"/>
          </w:rPr>
          <w:tab/>
        </w:r>
        <w:r w:rsidR="003854C7" w:rsidRPr="001068D2">
          <w:rPr>
            <w:rStyle w:val="Hyperlink"/>
          </w:rPr>
          <w:t>Hydraulic Balance Analysis</w:t>
        </w:r>
        <w:r w:rsidR="003854C7">
          <w:rPr>
            <w:webHidden/>
          </w:rPr>
          <w:tab/>
        </w:r>
        <w:r w:rsidR="003854C7">
          <w:rPr>
            <w:webHidden/>
          </w:rPr>
          <w:fldChar w:fldCharType="begin"/>
        </w:r>
        <w:r w:rsidR="003854C7">
          <w:rPr>
            <w:webHidden/>
          </w:rPr>
          <w:instrText xml:space="preserve"> PAGEREF _Toc125348626 \h </w:instrText>
        </w:r>
        <w:r w:rsidR="003854C7">
          <w:rPr>
            <w:webHidden/>
          </w:rPr>
        </w:r>
        <w:r w:rsidR="003854C7">
          <w:rPr>
            <w:webHidden/>
          </w:rPr>
          <w:fldChar w:fldCharType="separate"/>
        </w:r>
        <w:r>
          <w:rPr>
            <w:webHidden/>
          </w:rPr>
          <w:t>3</w:t>
        </w:r>
        <w:r w:rsidR="003854C7">
          <w:rPr>
            <w:webHidden/>
          </w:rPr>
          <w:fldChar w:fldCharType="end"/>
        </w:r>
      </w:hyperlink>
    </w:p>
    <w:p w:rsidR="003854C7" w:rsidRDefault="0009663A">
      <w:pPr>
        <w:pStyle w:val="TOC2"/>
        <w:tabs>
          <w:tab w:val="left" w:pos="960"/>
          <w:tab w:val="right" w:leader="dot" w:pos="9350"/>
        </w:tabs>
        <w:rPr>
          <w:noProof/>
          <w:sz w:val="24"/>
        </w:rPr>
      </w:pPr>
      <w:hyperlink w:anchor="_Toc125348627" w:history="1">
        <w:r w:rsidR="003854C7" w:rsidRPr="001068D2">
          <w:rPr>
            <w:rStyle w:val="Hyperlink"/>
            <w:noProof/>
          </w:rPr>
          <w:t>3.1</w:t>
        </w:r>
        <w:r w:rsidR="003854C7">
          <w:rPr>
            <w:noProof/>
            <w:sz w:val="24"/>
          </w:rPr>
          <w:tab/>
        </w:r>
        <w:r w:rsidR="003854C7" w:rsidRPr="001068D2">
          <w:rPr>
            <w:rStyle w:val="Hyperlink"/>
            <w:noProof/>
          </w:rPr>
          <w:t>Influent Flows</w:t>
        </w:r>
        <w:r w:rsidR="003854C7">
          <w:rPr>
            <w:noProof/>
            <w:webHidden/>
          </w:rPr>
          <w:tab/>
        </w:r>
        <w:r w:rsidR="003854C7">
          <w:rPr>
            <w:noProof/>
            <w:webHidden/>
          </w:rPr>
          <w:fldChar w:fldCharType="begin"/>
        </w:r>
        <w:r w:rsidR="003854C7">
          <w:rPr>
            <w:noProof/>
            <w:webHidden/>
          </w:rPr>
          <w:instrText xml:space="preserve"> PAGEREF _Toc125348627 \h </w:instrText>
        </w:r>
        <w:r w:rsidR="003854C7">
          <w:rPr>
            <w:noProof/>
            <w:webHidden/>
          </w:rPr>
        </w:r>
        <w:r w:rsidR="003854C7">
          <w:rPr>
            <w:noProof/>
            <w:webHidden/>
          </w:rPr>
          <w:fldChar w:fldCharType="separate"/>
        </w:r>
        <w:r>
          <w:rPr>
            <w:noProof/>
            <w:webHidden/>
          </w:rPr>
          <w:t>3</w:t>
        </w:r>
        <w:r w:rsidR="003854C7">
          <w:rPr>
            <w:noProof/>
            <w:webHidden/>
          </w:rPr>
          <w:fldChar w:fldCharType="end"/>
        </w:r>
      </w:hyperlink>
    </w:p>
    <w:p w:rsidR="003854C7" w:rsidRDefault="0009663A">
      <w:pPr>
        <w:pStyle w:val="TOC2"/>
        <w:tabs>
          <w:tab w:val="left" w:pos="960"/>
          <w:tab w:val="right" w:leader="dot" w:pos="9350"/>
        </w:tabs>
        <w:rPr>
          <w:noProof/>
          <w:sz w:val="24"/>
        </w:rPr>
      </w:pPr>
      <w:hyperlink w:anchor="_Toc125348628" w:history="1">
        <w:r w:rsidR="003854C7" w:rsidRPr="001068D2">
          <w:rPr>
            <w:rStyle w:val="Hyperlink"/>
            <w:noProof/>
          </w:rPr>
          <w:t>3.2</w:t>
        </w:r>
        <w:r w:rsidR="003854C7">
          <w:rPr>
            <w:noProof/>
            <w:sz w:val="24"/>
          </w:rPr>
          <w:tab/>
        </w:r>
        <w:r w:rsidR="003854C7" w:rsidRPr="001068D2">
          <w:rPr>
            <w:rStyle w:val="Hyperlink"/>
            <w:noProof/>
          </w:rPr>
          <w:t>Precipitation</w:t>
        </w:r>
        <w:r w:rsidR="003854C7">
          <w:rPr>
            <w:noProof/>
            <w:webHidden/>
          </w:rPr>
          <w:tab/>
        </w:r>
        <w:r w:rsidR="003854C7">
          <w:rPr>
            <w:noProof/>
            <w:webHidden/>
          </w:rPr>
          <w:fldChar w:fldCharType="begin"/>
        </w:r>
        <w:r w:rsidR="003854C7">
          <w:rPr>
            <w:noProof/>
            <w:webHidden/>
          </w:rPr>
          <w:instrText xml:space="preserve"> PAGEREF _Toc125348628 \h </w:instrText>
        </w:r>
        <w:r w:rsidR="003854C7">
          <w:rPr>
            <w:noProof/>
            <w:webHidden/>
          </w:rPr>
        </w:r>
        <w:r w:rsidR="003854C7">
          <w:rPr>
            <w:noProof/>
            <w:webHidden/>
          </w:rPr>
          <w:fldChar w:fldCharType="separate"/>
        </w:r>
        <w:r>
          <w:rPr>
            <w:noProof/>
            <w:webHidden/>
          </w:rPr>
          <w:t>4</w:t>
        </w:r>
        <w:r w:rsidR="003854C7">
          <w:rPr>
            <w:noProof/>
            <w:webHidden/>
          </w:rPr>
          <w:fldChar w:fldCharType="end"/>
        </w:r>
      </w:hyperlink>
    </w:p>
    <w:p w:rsidR="003854C7" w:rsidRDefault="0009663A">
      <w:pPr>
        <w:pStyle w:val="TOC2"/>
        <w:tabs>
          <w:tab w:val="left" w:pos="960"/>
          <w:tab w:val="right" w:leader="dot" w:pos="9350"/>
        </w:tabs>
        <w:rPr>
          <w:noProof/>
          <w:sz w:val="24"/>
        </w:rPr>
      </w:pPr>
      <w:hyperlink w:anchor="_Toc125348629" w:history="1">
        <w:r w:rsidR="003854C7" w:rsidRPr="001068D2">
          <w:rPr>
            <w:rStyle w:val="Hyperlink"/>
            <w:noProof/>
          </w:rPr>
          <w:t>3.3</w:t>
        </w:r>
        <w:r w:rsidR="003854C7">
          <w:rPr>
            <w:noProof/>
            <w:sz w:val="24"/>
          </w:rPr>
          <w:tab/>
        </w:r>
        <w:r w:rsidR="003854C7" w:rsidRPr="001068D2">
          <w:rPr>
            <w:rStyle w:val="Hyperlink"/>
            <w:noProof/>
          </w:rPr>
          <w:t>Percolation</w:t>
        </w:r>
        <w:r w:rsidR="003854C7">
          <w:rPr>
            <w:noProof/>
            <w:webHidden/>
          </w:rPr>
          <w:tab/>
        </w:r>
        <w:r w:rsidR="003854C7">
          <w:rPr>
            <w:noProof/>
            <w:webHidden/>
          </w:rPr>
          <w:fldChar w:fldCharType="begin"/>
        </w:r>
        <w:r w:rsidR="003854C7">
          <w:rPr>
            <w:noProof/>
            <w:webHidden/>
          </w:rPr>
          <w:instrText xml:space="preserve"> PAGEREF _Toc125348629 \h </w:instrText>
        </w:r>
        <w:r w:rsidR="003854C7">
          <w:rPr>
            <w:noProof/>
            <w:webHidden/>
          </w:rPr>
        </w:r>
        <w:r w:rsidR="003854C7">
          <w:rPr>
            <w:noProof/>
            <w:webHidden/>
          </w:rPr>
          <w:fldChar w:fldCharType="separate"/>
        </w:r>
        <w:r>
          <w:rPr>
            <w:noProof/>
            <w:webHidden/>
          </w:rPr>
          <w:t>4</w:t>
        </w:r>
        <w:r w:rsidR="003854C7">
          <w:rPr>
            <w:noProof/>
            <w:webHidden/>
          </w:rPr>
          <w:fldChar w:fldCharType="end"/>
        </w:r>
      </w:hyperlink>
    </w:p>
    <w:p w:rsidR="003854C7" w:rsidRDefault="0009663A">
      <w:pPr>
        <w:pStyle w:val="TOC2"/>
        <w:tabs>
          <w:tab w:val="left" w:pos="960"/>
          <w:tab w:val="right" w:leader="dot" w:pos="9350"/>
        </w:tabs>
        <w:rPr>
          <w:noProof/>
          <w:sz w:val="24"/>
        </w:rPr>
      </w:pPr>
      <w:hyperlink w:anchor="_Toc125348630" w:history="1">
        <w:r w:rsidR="003854C7" w:rsidRPr="001068D2">
          <w:rPr>
            <w:rStyle w:val="Hyperlink"/>
            <w:noProof/>
          </w:rPr>
          <w:t>3.4</w:t>
        </w:r>
        <w:r w:rsidR="003854C7">
          <w:rPr>
            <w:noProof/>
            <w:sz w:val="24"/>
          </w:rPr>
          <w:tab/>
        </w:r>
        <w:r w:rsidR="003854C7" w:rsidRPr="001068D2">
          <w:rPr>
            <w:rStyle w:val="Hyperlink"/>
            <w:noProof/>
          </w:rPr>
          <w:t>Evaporation</w:t>
        </w:r>
        <w:r w:rsidR="003854C7">
          <w:rPr>
            <w:noProof/>
            <w:webHidden/>
          </w:rPr>
          <w:tab/>
        </w:r>
        <w:r w:rsidR="003854C7">
          <w:rPr>
            <w:noProof/>
            <w:webHidden/>
          </w:rPr>
          <w:fldChar w:fldCharType="begin"/>
        </w:r>
        <w:r w:rsidR="003854C7">
          <w:rPr>
            <w:noProof/>
            <w:webHidden/>
          </w:rPr>
          <w:instrText xml:space="preserve"> PAGEREF _Toc125348630 \h </w:instrText>
        </w:r>
        <w:r w:rsidR="003854C7">
          <w:rPr>
            <w:noProof/>
            <w:webHidden/>
          </w:rPr>
        </w:r>
        <w:r w:rsidR="003854C7">
          <w:rPr>
            <w:noProof/>
            <w:webHidden/>
          </w:rPr>
          <w:fldChar w:fldCharType="separate"/>
        </w:r>
        <w:r>
          <w:rPr>
            <w:noProof/>
            <w:webHidden/>
          </w:rPr>
          <w:t>6</w:t>
        </w:r>
        <w:r w:rsidR="003854C7">
          <w:rPr>
            <w:noProof/>
            <w:webHidden/>
          </w:rPr>
          <w:fldChar w:fldCharType="end"/>
        </w:r>
      </w:hyperlink>
    </w:p>
    <w:p w:rsidR="003854C7" w:rsidRDefault="0009663A">
      <w:pPr>
        <w:pStyle w:val="TOC2"/>
        <w:tabs>
          <w:tab w:val="left" w:pos="960"/>
          <w:tab w:val="right" w:leader="dot" w:pos="9350"/>
        </w:tabs>
        <w:rPr>
          <w:noProof/>
          <w:sz w:val="24"/>
        </w:rPr>
      </w:pPr>
      <w:hyperlink w:anchor="_Toc125348631" w:history="1">
        <w:r w:rsidR="003854C7" w:rsidRPr="001068D2">
          <w:rPr>
            <w:rStyle w:val="Hyperlink"/>
            <w:noProof/>
          </w:rPr>
          <w:t>3.5</w:t>
        </w:r>
        <w:r w:rsidR="003854C7">
          <w:rPr>
            <w:noProof/>
            <w:sz w:val="24"/>
          </w:rPr>
          <w:tab/>
        </w:r>
        <w:r w:rsidR="003854C7" w:rsidRPr="001068D2">
          <w:rPr>
            <w:rStyle w:val="Hyperlink"/>
            <w:noProof/>
          </w:rPr>
          <w:t>Water Balance Summary</w:t>
        </w:r>
        <w:r w:rsidR="003854C7">
          <w:rPr>
            <w:noProof/>
            <w:webHidden/>
          </w:rPr>
          <w:tab/>
        </w:r>
        <w:r w:rsidR="003854C7">
          <w:rPr>
            <w:noProof/>
            <w:webHidden/>
          </w:rPr>
          <w:fldChar w:fldCharType="begin"/>
        </w:r>
        <w:r w:rsidR="003854C7">
          <w:rPr>
            <w:noProof/>
            <w:webHidden/>
          </w:rPr>
          <w:instrText xml:space="preserve"> PAGEREF _Toc125348631 \h </w:instrText>
        </w:r>
        <w:r w:rsidR="003854C7">
          <w:rPr>
            <w:noProof/>
            <w:webHidden/>
          </w:rPr>
        </w:r>
        <w:r w:rsidR="003854C7">
          <w:rPr>
            <w:noProof/>
            <w:webHidden/>
          </w:rPr>
          <w:fldChar w:fldCharType="separate"/>
        </w:r>
        <w:r>
          <w:rPr>
            <w:noProof/>
            <w:webHidden/>
          </w:rPr>
          <w:t>7</w:t>
        </w:r>
        <w:r w:rsidR="003854C7">
          <w:rPr>
            <w:noProof/>
            <w:webHidden/>
          </w:rPr>
          <w:fldChar w:fldCharType="end"/>
        </w:r>
      </w:hyperlink>
    </w:p>
    <w:p w:rsidR="006E77A2" w:rsidRPr="006E77A2" w:rsidRDefault="00C5193C" w:rsidP="00210402">
      <w:pPr>
        <w:pStyle w:val="TOC1"/>
        <w:tabs>
          <w:tab w:val="clear" w:pos="9360"/>
        </w:tabs>
        <w:rPr>
          <w:rStyle w:val="Hyperlink"/>
          <w:color w:val="auto"/>
          <w:u w:val="none"/>
        </w:rPr>
      </w:pPr>
      <w:r>
        <w:rPr>
          <w:rStyle w:val="Hyperlink"/>
          <w:color w:val="auto"/>
          <w:u w:val="none"/>
        </w:rPr>
        <w:t>4</w:t>
      </w:r>
      <w:r>
        <w:rPr>
          <w:rStyle w:val="Hyperlink"/>
          <w:color w:val="auto"/>
          <w:u w:val="none"/>
        </w:rPr>
        <w:tab/>
      </w:r>
      <w:r w:rsidR="006E77A2" w:rsidRPr="006E77A2">
        <w:rPr>
          <w:rStyle w:val="Hyperlink"/>
          <w:color w:val="auto"/>
          <w:u w:val="none"/>
        </w:rPr>
        <w:t>Treatment Process Performance………………………………………………………………</w:t>
      </w:r>
      <w:r w:rsidR="00210402">
        <w:rPr>
          <w:rStyle w:val="Hyperlink"/>
          <w:color w:val="auto"/>
          <w:u w:val="none"/>
        </w:rPr>
        <w:t>..</w:t>
      </w:r>
      <w:r w:rsidR="00655286">
        <w:rPr>
          <w:rStyle w:val="Hyperlink"/>
          <w:color w:val="auto"/>
          <w:u w:val="none"/>
        </w:rPr>
        <w:t>.</w:t>
      </w:r>
      <w:r w:rsidR="00210402">
        <w:rPr>
          <w:rStyle w:val="Hyperlink"/>
          <w:color w:val="auto"/>
          <w:u w:val="none"/>
        </w:rPr>
        <w:t>.</w:t>
      </w:r>
      <w:r w:rsidR="006E77A2" w:rsidRPr="006E77A2">
        <w:rPr>
          <w:rStyle w:val="Hyperlink"/>
          <w:color w:val="auto"/>
          <w:u w:val="none"/>
        </w:rPr>
        <w:t>…</w:t>
      </w:r>
      <w:r w:rsidR="00C153DD">
        <w:rPr>
          <w:rStyle w:val="Hyperlink"/>
          <w:color w:val="auto"/>
          <w:u w:val="none"/>
        </w:rPr>
        <w:t>6</w:t>
      </w:r>
    </w:p>
    <w:p w:rsidR="003874E9" w:rsidRDefault="007473CF" w:rsidP="007473CF">
      <w:pPr>
        <w:rPr>
          <w:rFonts w:ascii="Times New Roman" w:hAnsi="Times New Roman"/>
          <w:b/>
        </w:rPr>
      </w:pPr>
      <w:r w:rsidRPr="007473CF">
        <w:rPr>
          <w:rFonts w:ascii="Times New Roman" w:hAnsi="Times New Roman"/>
          <w:b/>
        </w:rPr>
        <w:t>5</w:t>
      </w:r>
      <w:r w:rsidR="003874E9">
        <w:rPr>
          <w:rFonts w:ascii="Times New Roman" w:hAnsi="Times New Roman"/>
          <w:b/>
        </w:rPr>
        <w:t xml:space="preserve"> </w:t>
      </w:r>
      <w:r w:rsidR="00C5193C">
        <w:rPr>
          <w:rFonts w:ascii="Times New Roman" w:hAnsi="Times New Roman"/>
          <w:b/>
        </w:rPr>
        <w:t xml:space="preserve">    Past and Future</w:t>
      </w:r>
      <w:r w:rsidRPr="007473CF">
        <w:rPr>
          <w:rFonts w:ascii="Times New Roman" w:hAnsi="Times New Roman"/>
          <w:b/>
        </w:rPr>
        <w:t xml:space="preserve"> Steps………………………………………………</w:t>
      </w:r>
      <w:r w:rsidR="002523BB">
        <w:rPr>
          <w:rFonts w:ascii="Times New Roman" w:hAnsi="Times New Roman"/>
          <w:b/>
        </w:rPr>
        <w:t>.</w:t>
      </w:r>
      <w:r w:rsidRPr="007473CF">
        <w:rPr>
          <w:rFonts w:ascii="Times New Roman" w:hAnsi="Times New Roman"/>
          <w:b/>
        </w:rPr>
        <w:t>………………………</w:t>
      </w:r>
      <w:r w:rsidR="00210402">
        <w:rPr>
          <w:rFonts w:ascii="Times New Roman" w:hAnsi="Times New Roman"/>
          <w:b/>
        </w:rPr>
        <w:t>….</w:t>
      </w:r>
      <w:r w:rsidR="003874E9">
        <w:rPr>
          <w:rFonts w:ascii="Times New Roman" w:hAnsi="Times New Roman"/>
          <w:b/>
        </w:rPr>
        <w:t>…</w:t>
      </w:r>
      <w:r w:rsidRPr="007473CF">
        <w:rPr>
          <w:rFonts w:ascii="Times New Roman" w:hAnsi="Times New Roman"/>
          <w:b/>
        </w:rPr>
        <w:t>…</w:t>
      </w:r>
      <w:r w:rsidR="00C153DD">
        <w:rPr>
          <w:rFonts w:ascii="Times New Roman" w:hAnsi="Times New Roman"/>
          <w:b/>
        </w:rPr>
        <w:t>7</w:t>
      </w:r>
      <w:r w:rsidR="003874E9">
        <w:rPr>
          <w:rFonts w:ascii="Times New Roman" w:hAnsi="Times New Roman"/>
          <w:b/>
        </w:rPr>
        <w:t xml:space="preserve">     References</w:t>
      </w:r>
      <w:r w:rsidR="006E77A2">
        <w:rPr>
          <w:rFonts w:ascii="Times New Roman" w:hAnsi="Times New Roman"/>
          <w:b/>
        </w:rPr>
        <w:t>…</w:t>
      </w:r>
      <w:r w:rsidR="003874E9">
        <w:rPr>
          <w:rFonts w:ascii="Times New Roman" w:hAnsi="Times New Roman"/>
          <w:b/>
        </w:rPr>
        <w:t>…</w:t>
      </w:r>
      <w:r w:rsidR="006E77A2">
        <w:rPr>
          <w:rFonts w:ascii="Times New Roman" w:hAnsi="Times New Roman"/>
          <w:b/>
        </w:rPr>
        <w:t>…</w:t>
      </w:r>
      <w:r w:rsidR="003874E9">
        <w:rPr>
          <w:rFonts w:ascii="Times New Roman" w:hAnsi="Times New Roman"/>
          <w:b/>
        </w:rPr>
        <w:t>…………………………………………………</w:t>
      </w:r>
      <w:r w:rsidR="002523BB">
        <w:rPr>
          <w:rFonts w:ascii="Times New Roman" w:hAnsi="Times New Roman"/>
          <w:b/>
        </w:rPr>
        <w:t>.</w:t>
      </w:r>
      <w:r w:rsidR="003874E9">
        <w:rPr>
          <w:rFonts w:ascii="Times New Roman" w:hAnsi="Times New Roman"/>
          <w:b/>
        </w:rPr>
        <w:t>…………………………</w:t>
      </w:r>
      <w:r w:rsidR="002523BB">
        <w:rPr>
          <w:rFonts w:ascii="Times New Roman" w:hAnsi="Times New Roman"/>
          <w:b/>
        </w:rPr>
        <w:t>..</w:t>
      </w:r>
      <w:r w:rsidR="003874E9">
        <w:rPr>
          <w:rFonts w:ascii="Times New Roman" w:hAnsi="Times New Roman"/>
          <w:b/>
        </w:rPr>
        <w:t>…</w:t>
      </w:r>
      <w:r w:rsidR="00F15229">
        <w:rPr>
          <w:rFonts w:ascii="Times New Roman" w:hAnsi="Times New Roman"/>
          <w:b/>
        </w:rPr>
        <w:t>…</w:t>
      </w:r>
      <w:r w:rsidR="00210402">
        <w:rPr>
          <w:rFonts w:ascii="Times New Roman" w:hAnsi="Times New Roman"/>
          <w:b/>
        </w:rPr>
        <w:t>….</w:t>
      </w:r>
      <w:r w:rsidR="003874E9">
        <w:rPr>
          <w:rFonts w:ascii="Times New Roman" w:hAnsi="Times New Roman"/>
          <w:b/>
        </w:rPr>
        <w:t>…</w:t>
      </w:r>
      <w:r w:rsidR="006E77A2">
        <w:rPr>
          <w:rFonts w:ascii="Times New Roman" w:hAnsi="Times New Roman"/>
          <w:b/>
        </w:rPr>
        <w:t>9</w:t>
      </w:r>
    </w:p>
    <w:p w:rsidR="001321C3" w:rsidRDefault="003854C7" w:rsidP="007A0EC4">
      <w:pPr>
        <w:pStyle w:val="Heading1"/>
      </w:pPr>
      <w:r>
        <w:rPr>
          <w:rFonts w:ascii="Times" w:hAnsi="Times" w:cs="Times New Roman"/>
          <w:color w:val="auto"/>
          <w:sz w:val="22"/>
          <w:szCs w:val="24"/>
        </w:rPr>
        <w:fldChar w:fldCharType="end"/>
      </w:r>
      <w:bookmarkStart w:id="0" w:name="_Toc125348624"/>
      <w:r w:rsidR="00DF38C5">
        <w:t>Introduction</w:t>
      </w:r>
      <w:bookmarkEnd w:id="0"/>
    </w:p>
    <w:p w:rsidR="001321C3" w:rsidRDefault="00645E20">
      <w:pPr>
        <w:pStyle w:val="BodyText"/>
      </w:pPr>
      <w:r>
        <w:t>As identified in Section E</w:t>
      </w:r>
      <w:r w:rsidR="00352EBD">
        <w:t>, paragraph 7,</w:t>
      </w:r>
      <w:r>
        <w:t xml:space="preserve"> of WDR R3-2004-0065 for the Sunnyslope County Water District (SSCWD), an annual engineering technical report shall be submitted to the Regional Water Quality Control Board (RWQCB) to evaluate the performance and capacity of the wastewater treatment and disposal system for the Ridgemark I</w:t>
      </w:r>
      <w:r w:rsidR="00385F81">
        <w:t xml:space="preserve"> (RM I) wastewater facility</w:t>
      </w:r>
      <w:r>
        <w:t xml:space="preserve">.  The main aspect of these </w:t>
      </w:r>
      <w:r w:rsidR="00875C46">
        <w:t xml:space="preserve">annual </w:t>
      </w:r>
      <w:r>
        <w:t>reports is a water balance analysi</w:t>
      </w:r>
      <w:r w:rsidR="00385F81">
        <w:t>s</w:t>
      </w:r>
      <w:r>
        <w:t>.  The following sections of this document summarize the information required by the RWQCB for the annual reports.</w:t>
      </w:r>
    </w:p>
    <w:p w:rsidR="001321C3" w:rsidRDefault="00B563E6" w:rsidP="00DF38C5">
      <w:pPr>
        <w:pStyle w:val="Heading1"/>
      </w:pPr>
      <w:bookmarkStart w:id="1" w:name="_Toc125348625"/>
      <w:r>
        <w:lastRenderedPageBreak/>
        <w:t>Capital Project</w:t>
      </w:r>
      <w:r w:rsidR="00DF38C5">
        <w:t xml:space="preserve"> Activities</w:t>
      </w:r>
      <w:bookmarkEnd w:id="1"/>
    </w:p>
    <w:p w:rsidR="00244E68" w:rsidRDefault="005E47C3" w:rsidP="00B71BFE">
      <w:pPr>
        <w:pStyle w:val="BodyText"/>
      </w:pPr>
      <w:r>
        <w:t xml:space="preserve">In </w:t>
      </w:r>
      <w:r w:rsidR="00557984">
        <w:t>201</w:t>
      </w:r>
      <w:r w:rsidR="00B21BB6">
        <w:t>1</w:t>
      </w:r>
      <w:r>
        <w:t xml:space="preserve"> </w:t>
      </w:r>
      <w:r w:rsidR="00B563E6">
        <w:t xml:space="preserve">Percolation </w:t>
      </w:r>
      <w:r w:rsidR="00244E68">
        <w:t>Pond 3 at Ridgemark</w:t>
      </w:r>
      <w:r>
        <w:t xml:space="preserve"> I </w:t>
      </w:r>
      <w:r w:rsidR="00244E68">
        <w:t xml:space="preserve">(RM I) </w:t>
      </w:r>
      <w:r>
        <w:t>was retired in order to prepare for the</w:t>
      </w:r>
      <w:r w:rsidR="00B563E6">
        <w:t xml:space="preserve"> construction of the Ridgemark W</w:t>
      </w:r>
      <w:r>
        <w:t xml:space="preserve">astewater </w:t>
      </w:r>
      <w:r w:rsidR="00B563E6">
        <w:t xml:space="preserve">Treatment Plant </w:t>
      </w:r>
      <w:r>
        <w:t>sequential batch reac</w:t>
      </w:r>
      <w:r w:rsidR="00B563E6">
        <w:t xml:space="preserve">tors in a portion of where Percolation Pond 3 had been. Construction of these sequential batch reactors </w:t>
      </w:r>
      <w:r w:rsidR="00244E68">
        <w:t>were</w:t>
      </w:r>
      <w:r w:rsidR="00B563E6">
        <w:t xml:space="preserve"> completed and began wastewater treatment at the end of 2012. Treatment</w:t>
      </w:r>
      <w:r w:rsidR="00B21BB6">
        <w:t xml:space="preserve"> Pond 2 at </w:t>
      </w:r>
      <w:r w:rsidR="00244E68">
        <w:t>RM</w:t>
      </w:r>
      <w:r w:rsidR="009A0360">
        <w:t xml:space="preserve"> </w:t>
      </w:r>
      <w:r w:rsidR="00B21BB6">
        <w:t xml:space="preserve">I was </w:t>
      </w:r>
      <w:r w:rsidR="00B563E6">
        <w:t xml:space="preserve">then </w:t>
      </w:r>
      <w:r w:rsidR="00B21BB6">
        <w:t xml:space="preserve">retired from service and </w:t>
      </w:r>
      <w:r w:rsidR="00B563E6">
        <w:t>construction began on the sludge treatment and drying beds where Treatment Pond 2 had been</w:t>
      </w:r>
      <w:r w:rsidR="00B21BB6">
        <w:t>. At the end of 201</w:t>
      </w:r>
      <w:r w:rsidR="00417B26">
        <w:t>2</w:t>
      </w:r>
      <w:r w:rsidR="009A0360">
        <w:t>,</w:t>
      </w:r>
      <w:r w:rsidR="00B21BB6">
        <w:t xml:space="preserve"> </w:t>
      </w:r>
      <w:r w:rsidR="00244E68">
        <w:t>Treatment Pond 1</w:t>
      </w:r>
      <w:r w:rsidR="00B21BB6">
        <w:t xml:space="preserve"> was </w:t>
      </w:r>
      <w:r w:rsidR="00244E68">
        <w:t xml:space="preserve">also </w:t>
      </w:r>
      <w:r w:rsidR="00B21BB6">
        <w:t>retired from wastewater treatment s</w:t>
      </w:r>
      <w:r w:rsidR="00385F81">
        <w:t>ervice and placed into</w:t>
      </w:r>
      <w:r w:rsidR="00244E68">
        <w:t xml:space="preserve"> service as a sludge storage and </w:t>
      </w:r>
      <w:r w:rsidR="00B21BB6">
        <w:t xml:space="preserve">treatment pond until the new wastewater sludge treatment and drying facilities at </w:t>
      </w:r>
      <w:r w:rsidR="00244E68">
        <w:t>RM</w:t>
      </w:r>
      <w:r w:rsidR="009A0360">
        <w:t xml:space="preserve"> </w:t>
      </w:r>
      <w:r w:rsidR="00B21BB6">
        <w:t xml:space="preserve">I </w:t>
      </w:r>
      <w:r w:rsidR="00736082">
        <w:t>were</w:t>
      </w:r>
      <w:r w:rsidR="00B21BB6">
        <w:t xml:space="preserve"> completed.</w:t>
      </w:r>
      <w:r w:rsidR="00244E68">
        <w:t xml:space="preserve"> In 2013 the s</w:t>
      </w:r>
      <w:r w:rsidR="00C86D9F">
        <w:t>ludge treatment tank</w:t>
      </w:r>
      <w:r w:rsidR="00B21BB6">
        <w:t xml:space="preserve"> </w:t>
      </w:r>
      <w:r w:rsidR="00736082">
        <w:t>and drying beds were</w:t>
      </w:r>
      <w:r w:rsidR="00C86D9F">
        <w:t xml:space="preserve"> </w:t>
      </w:r>
      <w:proofErr w:type="gramStart"/>
      <w:r w:rsidR="00C86D9F">
        <w:t>completed</w:t>
      </w:r>
      <w:proofErr w:type="gramEnd"/>
      <w:r w:rsidR="00C86D9F">
        <w:t xml:space="preserve"> and </w:t>
      </w:r>
      <w:r w:rsidR="00244E68">
        <w:t xml:space="preserve">Treatment </w:t>
      </w:r>
      <w:r w:rsidR="00C86D9F">
        <w:t xml:space="preserve">Pond 1 was retired from sludge treatment. </w:t>
      </w:r>
      <w:r w:rsidR="00244E68">
        <w:t>Treatment</w:t>
      </w:r>
      <w:r w:rsidR="009A0360">
        <w:t xml:space="preserve"> </w:t>
      </w:r>
      <w:r w:rsidR="00244E68">
        <w:t>Pond 1</w:t>
      </w:r>
      <w:r w:rsidR="00C86D9F" w:rsidRPr="009A0360">
        <w:t xml:space="preserve"> </w:t>
      </w:r>
      <w:r w:rsidR="009A0360" w:rsidRPr="009A0360">
        <w:t>remain</w:t>
      </w:r>
      <w:r w:rsidR="00244E68">
        <w:t>s as</w:t>
      </w:r>
      <w:r w:rsidR="009A0360" w:rsidRPr="009A0360">
        <w:t xml:space="preserve"> emergency </w:t>
      </w:r>
      <w:r w:rsidR="00AB248D">
        <w:t xml:space="preserve">overflow </w:t>
      </w:r>
      <w:r w:rsidR="009A0360" w:rsidRPr="009A0360">
        <w:t>sludge disposal.</w:t>
      </w:r>
      <w:r w:rsidR="00B71BFE" w:rsidRPr="00B71BFE">
        <w:t xml:space="preserve"> </w:t>
      </w:r>
      <w:r w:rsidR="00B71BFE">
        <w:t xml:space="preserve"> </w:t>
      </w:r>
    </w:p>
    <w:p w:rsidR="004555C1" w:rsidRDefault="00244E68" w:rsidP="00B71BFE">
      <w:pPr>
        <w:pStyle w:val="BodyText"/>
      </w:pPr>
      <w:r>
        <w:t>In 2013, Ridgemark II (RM II) Treatment Ponds 1 &amp;</w:t>
      </w:r>
      <w:r w:rsidR="00B71BFE">
        <w:t xml:space="preserve"> 2 </w:t>
      </w:r>
      <w:r>
        <w:t xml:space="preserve">and Percolation Ponds 3 &amp; 4 </w:t>
      </w:r>
      <w:r w:rsidR="00B71BFE">
        <w:t xml:space="preserve">were decommissioned as part of the consolidation of </w:t>
      </w:r>
      <w:r>
        <w:t>the two wastewater treatment sites</w:t>
      </w:r>
      <w:r w:rsidR="00B71BFE">
        <w:t xml:space="preserve"> at </w:t>
      </w:r>
      <w:r>
        <w:t xml:space="preserve">the Ridgemark Wastewater Treatment Plant </w:t>
      </w:r>
      <w:r w:rsidR="004555C1">
        <w:t xml:space="preserve">(Ridgemark WWTP) </w:t>
      </w:r>
      <w:r>
        <w:t>on the RM I site</w:t>
      </w:r>
      <w:r w:rsidR="00B71BFE">
        <w:t xml:space="preserve">. </w:t>
      </w:r>
    </w:p>
    <w:p w:rsidR="00B71BFE" w:rsidRPr="003D6794" w:rsidRDefault="004555C1" w:rsidP="00B71BFE">
      <w:pPr>
        <w:pStyle w:val="BodyText"/>
      </w:pPr>
      <w:r>
        <w:t>Rehabilitation</w:t>
      </w:r>
      <w:r w:rsidR="00B563E6">
        <w:t xml:space="preserve"> activities </w:t>
      </w:r>
      <w:r>
        <w:t xml:space="preserve">on percolation ponds from 2005 through 2019 </w:t>
      </w:r>
      <w:r w:rsidR="00B563E6">
        <w:t>are</w:t>
      </w:r>
      <w:r w:rsidR="00B563E6" w:rsidRPr="00B933E0">
        <w:t xml:space="preserve"> summarized in </w:t>
      </w:r>
      <w:r w:rsidR="00B563E6" w:rsidRPr="00B933E0">
        <w:fldChar w:fldCharType="begin"/>
      </w:r>
      <w:r w:rsidR="00B563E6" w:rsidRPr="00B933E0">
        <w:instrText xml:space="preserve"> REF _Ref118077098 \h  \* MERGEFORMAT </w:instrText>
      </w:r>
      <w:r w:rsidR="00B563E6" w:rsidRPr="00B933E0">
        <w:fldChar w:fldCharType="separate"/>
      </w:r>
      <w:r w:rsidR="0009663A">
        <w:t xml:space="preserve">Table </w:t>
      </w:r>
      <w:r w:rsidR="0009663A">
        <w:rPr>
          <w:noProof/>
        </w:rPr>
        <w:t>2</w:t>
      </w:r>
      <w:r w:rsidR="0009663A">
        <w:rPr>
          <w:noProof/>
        </w:rPr>
        <w:noBreakHyphen/>
        <w:t>1</w:t>
      </w:r>
      <w:r w:rsidR="00B563E6" w:rsidRPr="00B933E0">
        <w:fldChar w:fldCharType="end"/>
      </w:r>
      <w:r w:rsidR="00B563E6" w:rsidRPr="00B933E0">
        <w:t>.</w:t>
      </w:r>
      <w:r>
        <w:t xml:space="preserve"> These activities ensure that adequate percolation rates are maintained to effectively dispose of treated wastewater.</w:t>
      </w:r>
    </w:p>
    <w:p w:rsidR="009F74D0" w:rsidRDefault="009F74D0" w:rsidP="009F74D0">
      <w:pPr>
        <w:pStyle w:val="Caption"/>
        <w:keepNext/>
      </w:pPr>
      <w:bookmarkStart w:id="2" w:name="_Ref118077098"/>
      <w:r>
        <w:t xml:space="preserve">Table </w:t>
      </w:r>
      <w:r w:rsidR="00C04A85">
        <w:rPr>
          <w:noProof/>
        </w:rPr>
        <w:fldChar w:fldCharType="begin"/>
      </w:r>
      <w:r w:rsidR="00C04A85">
        <w:rPr>
          <w:noProof/>
        </w:rPr>
        <w:instrText xml:space="preserve"> STYLEREF 1 \s </w:instrText>
      </w:r>
      <w:r w:rsidR="00C04A85">
        <w:rPr>
          <w:noProof/>
        </w:rPr>
        <w:fldChar w:fldCharType="separate"/>
      </w:r>
      <w:r w:rsidR="0009663A">
        <w:rPr>
          <w:noProof/>
        </w:rPr>
        <w:t>2</w:t>
      </w:r>
      <w:r w:rsidR="00C04A85">
        <w:rPr>
          <w:noProof/>
        </w:rPr>
        <w:fldChar w:fldCharType="end"/>
      </w:r>
      <w:r w:rsidR="00FF01CC">
        <w:noBreakHyphen/>
      </w:r>
      <w:r w:rsidR="00C04A85">
        <w:rPr>
          <w:noProof/>
        </w:rPr>
        <w:fldChar w:fldCharType="begin"/>
      </w:r>
      <w:r w:rsidR="00C04A85">
        <w:rPr>
          <w:noProof/>
        </w:rPr>
        <w:instrText xml:space="preserve"> SEQ Table \* ARABIC \s 1 </w:instrText>
      </w:r>
      <w:r w:rsidR="00C04A85">
        <w:rPr>
          <w:noProof/>
        </w:rPr>
        <w:fldChar w:fldCharType="separate"/>
      </w:r>
      <w:r w:rsidR="0009663A">
        <w:rPr>
          <w:noProof/>
        </w:rPr>
        <w:t>1</w:t>
      </w:r>
      <w:r w:rsidR="00C04A85">
        <w:rPr>
          <w:noProof/>
        </w:rPr>
        <w:fldChar w:fldCharType="end"/>
      </w:r>
      <w:bookmarkEnd w:id="2"/>
      <w:r w:rsidR="003F2BC2">
        <w:t xml:space="preserve">: Ridgemark I </w:t>
      </w:r>
      <w:r>
        <w:t xml:space="preserve">Maintenance </w:t>
      </w:r>
      <w:r w:rsidR="00484A31">
        <w:t>Activities</w:t>
      </w:r>
    </w:p>
    <w:tbl>
      <w:tblPr>
        <w:tblW w:w="0" w:type="auto"/>
        <w:jc w:val="center"/>
        <w:tblBorders>
          <w:top w:val="single" w:sz="12" w:space="0" w:color="0D2B88"/>
          <w:left w:val="single" w:sz="12" w:space="0" w:color="0D2B88"/>
          <w:bottom w:val="single" w:sz="12" w:space="0" w:color="0D2B88"/>
          <w:right w:val="single" w:sz="12" w:space="0" w:color="0D2B88"/>
        </w:tblBorders>
        <w:tblLook w:val="01E0" w:firstRow="1" w:lastRow="1" w:firstColumn="1" w:lastColumn="1" w:noHBand="0" w:noVBand="0"/>
      </w:tblPr>
      <w:tblGrid>
        <w:gridCol w:w="1998"/>
        <w:gridCol w:w="6627"/>
      </w:tblGrid>
      <w:tr w:rsidR="00C26617" w:rsidTr="009003AA">
        <w:trPr>
          <w:cantSplit/>
          <w:jc w:val="center"/>
        </w:trPr>
        <w:tc>
          <w:tcPr>
            <w:tcW w:w="1998" w:type="dxa"/>
            <w:tcBorders>
              <w:bottom w:val="nil"/>
            </w:tcBorders>
            <w:shd w:val="clear" w:color="auto" w:fill="0D2B88"/>
            <w:vAlign w:val="bottom"/>
          </w:tcPr>
          <w:p w:rsidR="00C26617" w:rsidRPr="00F60F60" w:rsidRDefault="00C26617" w:rsidP="00C26617">
            <w:pPr>
              <w:pStyle w:val="tabletext"/>
              <w:rPr>
                <w:b/>
                <w:color w:val="FFFFFF"/>
              </w:rPr>
            </w:pPr>
            <w:r w:rsidRPr="00F60F60">
              <w:rPr>
                <w:b/>
                <w:color w:val="FFFFFF"/>
              </w:rPr>
              <w:t>Date</w:t>
            </w:r>
          </w:p>
        </w:tc>
        <w:tc>
          <w:tcPr>
            <w:tcW w:w="6627" w:type="dxa"/>
            <w:tcBorders>
              <w:bottom w:val="nil"/>
            </w:tcBorders>
            <w:shd w:val="clear" w:color="auto" w:fill="0D2B88"/>
            <w:vAlign w:val="bottom"/>
          </w:tcPr>
          <w:p w:rsidR="00C26617" w:rsidRPr="00F60F60" w:rsidRDefault="00C26617" w:rsidP="00C26617">
            <w:pPr>
              <w:pStyle w:val="tabletext"/>
              <w:rPr>
                <w:b/>
                <w:color w:val="FFFFFF"/>
              </w:rPr>
            </w:pPr>
            <w:r w:rsidRPr="00F60F60">
              <w:rPr>
                <w:b/>
                <w:color w:val="FFFFFF"/>
              </w:rPr>
              <w:t>Item</w:t>
            </w:r>
          </w:p>
        </w:tc>
      </w:tr>
      <w:tr w:rsidR="00C26617" w:rsidTr="009003AA">
        <w:trPr>
          <w:cantSplit/>
          <w:jc w:val="center"/>
        </w:trPr>
        <w:tc>
          <w:tcPr>
            <w:tcW w:w="1998" w:type="dxa"/>
            <w:tcBorders>
              <w:top w:val="nil"/>
              <w:left w:val="single" w:sz="12" w:space="0" w:color="0D2B88"/>
              <w:bottom w:val="single" w:sz="12" w:space="0" w:color="0D2B88"/>
              <w:right w:val="single" w:sz="12" w:space="0" w:color="0D2B88"/>
              <w:tl2br w:val="nil"/>
              <w:tr2bl w:val="nil"/>
            </w:tcBorders>
            <w:shd w:val="clear" w:color="auto" w:fill="auto"/>
            <w:vAlign w:val="bottom"/>
          </w:tcPr>
          <w:p w:rsidR="00C26617" w:rsidRDefault="00C26617" w:rsidP="00C26617">
            <w:pPr>
              <w:pStyle w:val="tabletext"/>
            </w:pPr>
            <w:r>
              <w:t>2005</w:t>
            </w:r>
          </w:p>
        </w:tc>
        <w:tc>
          <w:tcPr>
            <w:tcW w:w="6627" w:type="dxa"/>
            <w:tcBorders>
              <w:top w:val="nil"/>
              <w:left w:val="single" w:sz="12" w:space="0" w:color="0D2B88"/>
              <w:bottom w:val="single" w:sz="12" w:space="0" w:color="0D2B88"/>
              <w:right w:val="single" w:sz="12" w:space="0" w:color="0D2B88"/>
              <w:tl2br w:val="nil"/>
              <w:tr2bl w:val="nil"/>
            </w:tcBorders>
            <w:shd w:val="clear" w:color="auto" w:fill="auto"/>
            <w:vAlign w:val="bottom"/>
          </w:tcPr>
          <w:p w:rsidR="00C26617" w:rsidRDefault="00C26617" w:rsidP="00F60F60">
            <w:pPr>
              <w:pStyle w:val="tabletext"/>
              <w:jc w:val="left"/>
            </w:pPr>
            <w:r>
              <w:t>RM I, Pond</w:t>
            </w:r>
            <w:r w:rsidR="003F2BC2">
              <w:t>s 3</w:t>
            </w:r>
            <w:r w:rsidR="001E639E">
              <w:t xml:space="preserve"> </w:t>
            </w:r>
            <w:r w:rsidR="003F2BC2">
              <w:t>&amp;</w:t>
            </w:r>
            <w:r w:rsidR="001E639E">
              <w:t xml:space="preserve"> </w:t>
            </w:r>
            <w:r>
              <w:t>4 drained</w:t>
            </w:r>
            <w:r w:rsidR="003F2BC2">
              <w:t>, dried and solids removed</w:t>
            </w:r>
          </w:p>
        </w:tc>
      </w:tr>
      <w:tr w:rsidR="00C26617" w:rsidTr="009003AA">
        <w:trPr>
          <w:cantSplit/>
          <w:jc w:val="center"/>
        </w:trPr>
        <w:tc>
          <w:tcPr>
            <w:tcW w:w="1998"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C26617" w:rsidRPr="00B933E0" w:rsidRDefault="00C73ECC" w:rsidP="00C26617">
            <w:pPr>
              <w:pStyle w:val="tabletext"/>
            </w:pPr>
            <w:r>
              <w:t>1/4/06 – 1/12/06</w:t>
            </w:r>
          </w:p>
        </w:tc>
        <w:tc>
          <w:tcPr>
            <w:tcW w:w="6627"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C26617" w:rsidRPr="00B933E0" w:rsidRDefault="00C73ECC" w:rsidP="00F60F60">
            <w:pPr>
              <w:pStyle w:val="tabletext"/>
              <w:jc w:val="left"/>
            </w:pPr>
            <w:bookmarkStart w:id="3" w:name="OLE_LINK1"/>
            <w:bookmarkStart w:id="4" w:name="OLE_LINK2"/>
            <w:r w:rsidRPr="00B933E0">
              <w:t>Pumping from Pond 4 at RM II to Pond 4 at RM I</w:t>
            </w:r>
            <w:bookmarkEnd w:id="3"/>
            <w:bookmarkEnd w:id="4"/>
          </w:p>
        </w:tc>
      </w:tr>
      <w:tr w:rsidR="00C26617" w:rsidTr="009003AA">
        <w:trPr>
          <w:cantSplit/>
          <w:trHeight w:val="249"/>
          <w:jc w:val="center"/>
        </w:trPr>
        <w:tc>
          <w:tcPr>
            <w:tcW w:w="1998"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C26617" w:rsidRPr="00B933E0" w:rsidRDefault="00C73ECC" w:rsidP="00C26617">
            <w:pPr>
              <w:pStyle w:val="tabletext"/>
            </w:pPr>
            <w:r>
              <w:t>July-Aug 2006</w:t>
            </w:r>
          </w:p>
        </w:tc>
        <w:tc>
          <w:tcPr>
            <w:tcW w:w="6627"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C26617" w:rsidRPr="00B933E0" w:rsidRDefault="00C73ECC" w:rsidP="00F60F60">
            <w:pPr>
              <w:pStyle w:val="tabletext"/>
              <w:jc w:val="left"/>
            </w:pPr>
            <w:r w:rsidRPr="00B933E0">
              <w:t>Bypass pumping from Pond 2 at RM I to Pond 4</w:t>
            </w:r>
          </w:p>
        </w:tc>
      </w:tr>
      <w:tr w:rsidR="009A55BB" w:rsidTr="009003AA">
        <w:trPr>
          <w:cantSplit/>
          <w:trHeight w:val="143"/>
          <w:jc w:val="center"/>
        </w:trPr>
        <w:tc>
          <w:tcPr>
            <w:tcW w:w="1998"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9A55BB" w:rsidRPr="00B933E0" w:rsidRDefault="009A55BB" w:rsidP="00C26617">
            <w:pPr>
              <w:pStyle w:val="tabletext"/>
            </w:pPr>
            <w:r>
              <w:t>10/30/06 – 12/3/06</w:t>
            </w:r>
          </w:p>
        </w:tc>
        <w:tc>
          <w:tcPr>
            <w:tcW w:w="6627"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9A55BB" w:rsidRPr="00B933E0" w:rsidRDefault="009A55BB" w:rsidP="00F60F60">
            <w:pPr>
              <w:pStyle w:val="tabletext"/>
              <w:jc w:val="left"/>
            </w:pPr>
            <w:r w:rsidRPr="00B933E0">
              <w:t>Pumping from Pond 4 at RM II to Pond 4 at RM I</w:t>
            </w:r>
          </w:p>
        </w:tc>
      </w:tr>
      <w:tr w:rsidR="009A55BB" w:rsidTr="009003AA">
        <w:trPr>
          <w:cantSplit/>
          <w:trHeight w:val="142"/>
          <w:jc w:val="center"/>
        </w:trPr>
        <w:tc>
          <w:tcPr>
            <w:tcW w:w="1998"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9A55BB" w:rsidRDefault="009A55BB" w:rsidP="00C26617">
            <w:pPr>
              <w:pStyle w:val="tabletext"/>
            </w:pPr>
            <w:r w:rsidRPr="00B933E0">
              <w:t>November 2006</w:t>
            </w:r>
          </w:p>
        </w:tc>
        <w:tc>
          <w:tcPr>
            <w:tcW w:w="6627"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9A55BB" w:rsidRPr="00B933E0" w:rsidRDefault="009A55BB" w:rsidP="00F60F60">
            <w:pPr>
              <w:pStyle w:val="tabletext"/>
              <w:jc w:val="left"/>
            </w:pPr>
            <w:r>
              <w:t xml:space="preserve">Sludge removed from bottom </w:t>
            </w:r>
            <w:r w:rsidRPr="00B933E0">
              <w:t>of Pond 5 at RM I.  Pond bottom ripped</w:t>
            </w:r>
          </w:p>
        </w:tc>
      </w:tr>
      <w:tr w:rsidR="00437290" w:rsidTr="009003AA">
        <w:trPr>
          <w:cantSplit/>
          <w:trHeight w:val="180"/>
          <w:jc w:val="center"/>
        </w:trPr>
        <w:tc>
          <w:tcPr>
            <w:tcW w:w="1998"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437290" w:rsidRPr="00B933E0" w:rsidRDefault="00437290" w:rsidP="00240F7A">
            <w:pPr>
              <w:pStyle w:val="tabletext"/>
            </w:pPr>
            <w:r w:rsidRPr="00B933E0">
              <w:t>November 200</w:t>
            </w:r>
            <w:r>
              <w:t xml:space="preserve">7 </w:t>
            </w:r>
          </w:p>
        </w:tc>
        <w:tc>
          <w:tcPr>
            <w:tcW w:w="6627"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437290" w:rsidRPr="00B933E0" w:rsidRDefault="00437290" w:rsidP="00F60F60">
            <w:pPr>
              <w:pStyle w:val="tabletext"/>
              <w:jc w:val="left"/>
            </w:pPr>
            <w:r w:rsidRPr="00B933E0">
              <w:t>Pond</w:t>
            </w:r>
            <w:r w:rsidR="00776574">
              <w:t>s 3 &amp; 4 at Ridgemark I</w:t>
            </w:r>
            <w:r>
              <w:t>. Pond bottoms ripped.</w:t>
            </w:r>
          </w:p>
        </w:tc>
      </w:tr>
      <w:tr w:rsidR="00437290" w:rsidTr="009003AA">
        <w:trPr>
          <w:cantSplit/>
          <w:trHeight w:val="327"/>
          <w:jc w:val="center"/>
        </w:trPr>
        <w:tc>
          <w:tcPr>
            <w:tcW w:w="1998"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437290" w:rsidRPr="00B933E0" w:rsidRDefault="00437290" w:rsidP="00240F7A">
            <w:pPr>
              <w:pStyle w:val="tabletext"/>
            </w:pPr>
            <w:r>
              <w:t>Jan-Dec 2007</w:t>
            </w:r>
          </w:p>
        </w:tc>
        <w:tc>
          <w:tcPr>
            <w:tcW w:w="6627"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437290" w:rsidRPr="00B933E0" w:rsidRDefault="00437290" w:rsidP="00F60F60">
            <w:pPr>
              <w:pStyle w:val="tabletext"/>
              <w:jc w:val="left"/>
            </w:pPr>
            <w:r>
              <w:t xml:space="preserve">Pumping effluent from Pond </w:t>
            </w:r>
            <w:r w:rsidR="0019119C">
              <w:t>4</w:t>
            </w:r>
            <w:r>
              <w:t xml:space="preserve"> at RM II to Pond 4 at RM I</w:t>
            </w:r>
          </w:p>
        </w:tc>
      </w:tr>
      <w:tr w:rsidR="000E230A" w:rsidRPr="00B933E0" w:rsidTr="009003AA">
        <w:trPr>
          <w:cantSplit/>
          <w:trHeight w:val="180"/>
          <w:jc w:val="center"/>
        </w:trPr>
        <w:tc>
          <w:tcPr>
            <w:tcW w:w="1998"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0E230A" w:rsidRPr="00B933E0" w:rsidRDefault="000E230A" w:rsidP="00157807">
            <w:pPr>
              <w:pStyle w:val="tabletext"/>
            </w:pPr>
            <w:r>
              <w:t>August</w:t>
            </w:r>
            <w:r w:rsidRPr="00B933E0">
              <w:t xml:space="preserve"> </w:t>
            </w:r>
            <w:r w:rsidR="00D71A42">
              <w:t>200</w:t>
            </w:r>
            <w:r w:rsidR="00B57420">
              <w:t>8</w:t>
            </w:r>
            <w:r>
              <w:t xml:space="preserve"> </w:t>
            </w:r>
          </w:p>
        </w:tc>
        <w:tc>
          <w:tcPr>
            <w:tcW w:w="6627"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0E230A" w:rsidRPr="00B933E0" w:rsidRDefault="000E230A" w:rsidP="00F60F60">
            <w:pPr>
              <w:pStyle w:val="tabletext"/>
              <w:jc w:val="left"/>
            </w:pPr>
            <w:r w:rsidRPr="00B933E0">
              <w:t>Pond</w:t>
            </w:r>
            <w:r w:rsidR="00776574">
              <w:t>s 3 &amp; 4 at Ridgemark I</w:t>
            </w:r>
            <w:r>
              <w:t>. Pond bottoms ripped.</w:t>
            </w:r>
          </w:p>
        </w:tc>
      </w:tr>
      <w:tr w:rsidR="00B57420" w:rsidRPr="00B933E0" w:rsidTr="009003AA">
        <w:trPr>
          <w:cantSplit/>
          <w:trHeight w:val="327"/>
          <w:jc w:val="center"/>
        </w:trPr>
        <w:tc>
          <w:tcPr>
            <w:tcW w:w="1998"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B57420" w:rsidRPr="00B933E0" w:rsidRDefault="00B57420" w:rsidP="000D33C6">
            <w:pPr>
              <w:pStyle w:val="tabletext"/>
            </w:pPr>
            <w:r>
              <w:t>August 2009</w:t>
            </w:r>
          </w:p>
        </w:tc>
        <w:tc>
          <w:tcPr>
            <w:tcW w:w="6627"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B57420" w:rsidRPr="00B933E0" w:rsidRDefault="00B57420" w:rsidP="00776574">
            <w:pPr>
              <w:pStyle w:val="tabletext"/>
              <w:jc w:val="left"/>
            </w:pPr>
            <w:r>
              <w:t xml:space="preserve">Pond 4 </w:t>
            </w:r>
            <w:r w:rsidR="006007B5">
              <w:t xml:space="preserve">Ridgemark </w:t>
            </w:r>
            <w:r w:rsidR="00776574">
              <w:t>I</w:t>
            </w:r>
            <w:r>
              <w:t>. Pond bottoms ripped.</w:t>
            </w:r>
          </w:p>
        </w:tc>
      </w:tr>
      <w:tr w:rsidR="00033A4B" w:rsidTr="009003AA">
        <w:trPr>
          <w:cantSplit/>
          <w:trHeight w:val="327"/>
          <w:jc w:val="center"/>
        </w:trPr>
        <w:tc>
          <w:tcPr>
            <w:tcW w:w="1998"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033A4B" w:rsidRDefault="00033A4B" w:rsidP="00E96920">
            <w:pPr>
              <w:pStyle w:val="tabletext"/>
            </w:pPr>
            <w:r>
              <w:t>August 2010</w:t>
            </w:r>
          </w:p>
        </w:tc>
        <w:tc>
          <w:tcPr>
            <w:tcW w:w="6627"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033A4B" w:rsidRDefault="00033A4B" w:rsidP="00E96920">
            <w:pPr>
              <w:pStyle w:val="tabletext"/>
              <w:jc w:val="left"/>
            </w:pPr>
            <w:r w:rsidRPr="00B933E0">
              <w:t>Pond</w:t>
            </w:r>
            <w:r>
              <w:t>s 4</w:t>
            </w:r>
            <w:r w:rsidR="00AA6577">
              <w:t xml:space="preserve"> &amp; 5</w:t>
            </w:r>
            <w:r w:rsidR="00776574">
              <w:t xml:space="preserve"> at Ridgemark I</w:t>
            </w:r>
            <w:r>
              <w:t>. Pond bottoms ripped</w:t>
            </w:r>
          </w:p>
        </w:tc>
      </w:tr>
      <w:tr w:rsidR="002503B2" w:rsidTr="009003AA">
        <w:trPr>
          <w:cantSplit/>
          <w:trHeight w:val="327"/>
          <w:jc w:val="center"/>
        </w:trPr>
        <w:tc>
          <w:tcPr>
            <w:tcW w:w="1998"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2503B2" w:rsidRDefault="001D55A4" w:rsidP="00E96920">
            <w:pPr>
              <w:pStyle w:val="tabletext"/>
            </w:pPr>
            <w:r>
              <w:t>September 2013</w:t>
            </w:r>
          </w:p>
        </w:tc>
        <w:tc>
          <w:tcPr>
            <w:tcW w:w="6627"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385F81" w:rsidRPr="00B933E0" w:rsidRDefault="001D55A4" w:rsidP="00E96920">
            <w:pPr>
              <w:pStyle w:val="tabletext"/>
              <w:jc w:val="left"/>
            </w:pPr>
            <w:r>
              <w:t>Ponds 4 and 6 were ripped</w:t>
            </w:r>
            <w:r w:rsidR="0026392D">
              <w:t xml:space="preserve"> to maintain percolation rates</w:t>
            </w:r>
          </w:p>
        </w:tc>
      </w:tr>
      <w:tr w:rsidR="00385F81" w:rsidTr="009003AA">
        <w:trPr>
          <w:cantSplit/>
          <w:trHeight w:val="327"/>
          <w:jc w:val="center"/>
        </w:trPr>
        <w:tc>
          <w:tcPr>
            <w:tcW w:w="1998"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385F81" w:rsidRDefault="00385F81" w:rsidP="00E96920">
            <w:pPr>
              <w:pStyle w:val="tabletext"/>
            </w:pPr>
            <w:r>
              <w:t>June 2014</w:t>
            </w:r>
          </w:p>
        </w:tc>
        <w:tc>
          <w:tcPr>
            <w:tcW w:w="6627"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385F81" w:rsidRDefault="00776574" w:rsidP="00E96920">
            <w:pPr>
              <w:pStyle w:val="tabletext"/>
              <w:jc w:val="left"/>
            </w:pPr>
            <w:r>
              <w:t>Pond 5 at Ridgemark I</w:t>
            </w:r>
            <w:r w:rsidR="00385F81">
              <w:t>. Pond bottom ripped</w:t>
            </w:r>
          </w:p>
        </w:tc>
      </w:tr>
      <w:tr w:rsidR="000D40AE" w:rsidTr="009003AA">
        <w:trPr>
          <w:cantSplit/>
          <w:trHeight w:val="327"/>
          <w:jc w:val="center"/>
        </w:trPr>
        <w:tc>
          <w:tcPr>
            <w:tcW w:w="1998"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0D40AE" w:rsidRDefault="000D40AE" w:rsidP="00E96920">
            <w:pPr>
              <w:pStyle w:val="tabletext"/>
            </w:pPr>
            <w:r>
              <w:t>July 2015</w:t>
            </w:r>
          </w:p>
        </w:tc>
        <w:tc>
          <w:tcPr>
            <w:tcW w:w="6627"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0D40AE" w:rsidRDefault="000D40AE" w:rsidP="00E96920">
            <w:pPr>
              <w:pStyle w:val="tabletext"/>
              <w:jc w:val="left"/>
            </w:pPr>
            <w:r w:rsidRPr="00B933E0">
              <w:t>Pond</w:t>
            </w:r>
            <w:r w:rsidR="00776574">
              <w:t>s 3 &amp; 4 at Ridgemark I</w:t>
            </w:r>
            <w:r>
              <w:t>. Pond bottoms ripped.</w:t>
            </w:r>
          </w:p>
        </w:tc>
      </w:tr>
      <w:tr w:rsidR="000D40AE" w:rsidTr="009003AA">
        <w:trPr>
          <w:cantSplit/>
          <w:trHeight w:val="327"/>
          <w:jc w:val="center"/>
        </w:trPr>
        <w:tc>
          <w:tcPr>
            <w:tcW w:w="1998"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0D40AE" w:rsidRDefault="000D40AE" w:rsidP="00E96920">
            <w:pPr>
              <w:pStyle w:val="tabletext"/>
            </w:pPr>
            <w:r>
              <w:t>October 2015</w:t>
            </w:r>
          </w:p>
        </w:tc>
        <w:tc>
          <w:tcPr>
            <w:tcW w:w="6627"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0D40AE" w:rsidRPr="00B933E0" w:rsidRDefault="00776574" w:rsidP="00E96920">
            <w:pPr>
              <w:pStyle w:val="tabletext"/>
              <w:jc w:val="left"/>
            </w:pPr>
            <w:r>
              <w:t>Pond 5 at Ridgemark I</w:t>
            </w:r>
            <w:r w:rsidR="000D40AE">
              <w:t>. Pond bottom ripped</w:t>
            </w:r>
            <w:r>
              <w:t>.</w:t>
            </w:r>
          </w:p>
        </w:tc>
      </w:tr>
      <w:tr w:rsidR="00776574" w:rsidTr="009003AA">
        <w:trPr>
          <w:cantSplit/>
          <w:trHeight w:val="327"/>
          <w:jc w:val="center"/>
        </w:trPr>
        <w:tc>
          <w:tcPr>
            <w:tcW w:w="1998"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776574" w:rsidRDefault="00E26E53" w:rsidP="00E96920">
            <w:pPr>
              <w:pStyle w:val="tabletext"/>
            </w:pPr>
            <w:r>
              <w:t>October</w:t>
            </w:r>
            <w:r w:rsidR="00776574">
              <w:t xml:space="preserve"> 2016</w:t>
            </w:r>
          </w:p>
        </w:tc>
        <w:tc>
          <w:tcPr>
            <w:tcW w:w="6627"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776574" w:rsidRDefault="00776574" w:rsidP="00E96920">
            <w:pPr>
              <w:pStyle w:val="tabletext"/>
              <w:jc w:val="left"/>
            </w:pPr>
            <w:r>
              <w:t>Ponds 3 &amp; 4 at Ridgemark I. Pond bottoms ripped.</w:t>
            </w:r>
          </w:p>
        </w:tc>
      </w:tr>
      <w:tr w:rsidR="00776574" w:rsidTr="009003AA">
        <w:trPr>
          <w:cantSplit/>
          <w:trHeight w:val="327"/>
          <w:jc w:val="center"/>
        </w:trPr>
        <w:tc>
          <w:tcPr>
            <w:tcW w:w="1998"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776574" w:rsidRDefault="003A029D" w:rsidP="00E96920">
            <w:pPr>
              <w:pStyle w:val="tabletext"/>
            </w:pPr>
            <w:r>
              <w:t>August</w:t>
            </w:r>
            <w:r w:rsidR="003D4F82">
              <w:t xml:space="preserve"> 2017</w:t>
            </w:r>
          </w:p>
        </w:tc>
        <w:tc>
          <w:tcPr>
            <w:tcW w:w="6627"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776574" w:rsidRDefault="003A029D" w:rsidP="00E96920">
            <w:pPr>
              <w:pStyle w:val="tabletext"/>
              <w:jc w:val="left"/>
            </w:pPr>
            <w:r>
              <w:t>Pond 5</w:t>
            </w:r>
            <w:r w:rsidR="003D4F82">
              <w:t xml:space="preserve"> at Ridgemark I. Pond bottom ripped.</w:t>
            </w:r>
          </w:p>
        </w:tc>
      </w:tr>
      <w:tr w:rsidR="003A029D" w:rsidTr="009003AA">
        <w:trPr>
          <w:cantSplit/>
          <w:trHeight w:val="327"/>
          <w:jc w:val="center"/>
        </w:trPr>
        <w:tc>
          <w:tcPr>
            <w:tcW w:w="1998"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3A029D" w:rsidRDefault="003A029D" w:rsidP="00E96920">
            <w:pPr>
              <w:pStyle w:val="tabletext"/>
            </w:pPr>
            <w:r>
              <w:t>December 2017</w:t>
            </w:r>
          </w:p>
        </w:tc>
        <w:tc>
          <w:tcPr>
            <w:tcW w:w="6627"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9003AA" w:rsidRDefault="003A029D" w:rsidP="00E96920">
            <w:pPr>
              <w:pStyle w:val="tabletext"/>
              <w:jc w:val="left"/>
            </w:pPr>
            <w:r>
              <w:t>Pond 4 at Ridgemark I. Pond bottom ripped.</w:t>
            </w:r>
          </w:p>
        </w:tc>
      </w:tr>
      <w:tr w:rsidR="009003AA" w:rsidTr="009003AA">
        <w:trPr>
          <w:cantSplit/>
          <w:trHeight w:val="327"/>
          <w:jc w:val="center"/>
        </w:trPr>
        <w:tc>
          <w:tcPr>
            <w:tcW w:w="1998"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9003AA" w:rsidRDefault="009003AA" w:rsidP="00E96920">
            <w:pPr>
              <w:pStyle w:val="tabletext"/>
            </w:pPr>
            <w:r>
              <w:t>November 2018</w:t>
            </w:r>
          </w:p>
        </w:tc>
        <w:tc>
          <w:tcPr>
            <w:tcW w:w="6627" w:type="dxa"/>
            <w:tcBorders>
              <w:top w:val="single" w:sz="12" w:space="0" w:color="0D2B88"/>
              <w:left w:val="single" w:sz="12" w:space="0" w:color="0D2B88"/>
              <w:bottom w:val="single" w:sz="12" w:space="0" w:color="0D2B88"/>
              <w:right w:val="single" w:sz="12" w:space="0" w:color="0D2B88"/>
              <w:tl2br w:val="nil"/>
              <w:tr2bl w:val="nil"/>
            </w:tcBorders>
            <w:shd w:val="clear" w:color="auto" w:fill="auto"/>
            <w:vAlign w:val="bottom"/>
          </w:tcPr>
          <w:p w:rsidR="009003AA" w:rsidRDefault="009003AA" w:rsidP="00E96920">
            <w:pPr>
              <w:pStyle w:val="tabletext"/>
              <w:jc w:val="left"/>
            </w:pPr>
            <w:r>
              <w:t>Pond 3 at Ridgemark I. Pond bottom ripped.</w:t>
            </w:r>
          </w:p>
        </w:tc>
      </w:tr>
    </w:tbl>
    <w:p w:rsidR="006E77A2" w:rsidRDefault="006E77A2" w:rsidP="00DF1F9B">
      <w:pPr>
        <w:pStyle w:val="BodyText"/>
      </w:pPr>
    </w:p>
    <w:p w:rsidR="001321C3" w:rsidRPr="0006375C" w:rsidRDefault="00DF38C5" w:rsidP="00DF38C5">
      <w:pPr>
        <w:pStyle w:val="Heading1"/>
      </w:pPr>
      <w:bookmarkStart w:id="5" w:name="_Toc125348626"/>
      <w:r w:rsidRPr="0006375C">
        <w:lastRenderedPageBreak/>
        <w:t>Hydraulic Balance Analysis</w:t>
      </w:r>
      <w:bookmarkEnd w:id="5"/>
    </w:p>
    <w:p w:rsidR="006E77A2" w:rsidRPr="00107DD2" w:rsidRDefault="00D853EC" w:rsidP="00107DD2">
      <w:pPr>
        <w:pStyle w:val="BodyText"/>
      </w:pPr>
      <w:r>
        <w:t xml:space="preserve">The hydraulic </w:t>
      </w:r>
      <w:r w:rsidR="00107DD2">
        <w:t xml:space="preserve">balance </w:t>
      </w:r>
      <w:r>
        <w:t xml:space="preserve">analysis </w:t>
      </w:r>
      <w:r w:rsidR="00107DD2">
        <w:t xml:space="preserve">is performed for the period spanning </w:t>
      </w:r>
      <w:r w:rsidR="003F2BC2">
        <w:t xml:space="preserve">January </w:t>
      </w:r>
      <w:r w:rsidR="004555C1">
        <w:t>2019</w:t>
      </w:r>
      <w:r w:rsidR="00107DD2">
        <w:t xml:space="preserve"> through </w:t>
      </w:r>
      <w:r w:rsidR="00183AF5">
        <w:t>December</w:t>
      </w:r>
      <w:r w:rsidR="003F2BC2">
        <w:t xml:space="preserve"> </w:t>
      </w:r>
      <w:r w:rsidR="004555C1">
        <w:t>2019</w:t>
      </w:r>
      <w:r w:rsidR="00107DD2">
        <w:t xml:space="preserve">.  </w:t>
      </w:r>
      <w:r w:rsidR="00B142D5">
        <w:t>The following sections describe the data used in the water balance and summarize the results.</w:t>
      </w:r>
    </w:p>
    <w:p w:rsidR="00107DD2" w:rsidRDefault="00107DD2" w:rsidP="00107DD2">
      <w:pPr>
        <w:pStyle w:val="Heading2"/>
      </w:pPr>
      <w:bookmarkStart w:id="6" w:name="_Toc125348627"/>
      <w:r>
        <w:t>Influent Flows</w:t>
      </w:r>
      <w:bookmarkEnd w:id="6"/>
    </w:p>
    <w:p w:rsidR="00107DD2" w:rsidRDefault="00107DD2" w:rsidP="00C075CF">
      <w:pPr>
        <w:pStyle w:val="BodyText"/>
        <w:spacing w:after="0"/>
        <w:jc w:val="left"/>
      </w:pPr>
      <w:r w:rsidRPr="00257965">
        <w:t>In</w:t>
      </w:r>
      <w:r w:rsidR="0006375C">
        <w:t>fluent flows</w:t>
      </w:r>
      <w:r w:rsidRPr="00257965">
        <w:t xml:space="preserve"> are based on </w:t>
      </w:r>
      <w:r w:rsidR="004555C1">
        <w:t xml:space="preserve">the magnetic </w:t>
      </w:r>
      <w:r w:rsidR="00FD6D71" w:rsidRPr="00257965">
        <w:t xml:space="preserve">flow </w:t>
      </w:r>
      <w:r w:rsidR="004555C1">
        <w:t xml:space="preserve">meter </w:t>
      </w:r>
      <w:r w:rsidRPr="00257965">
        <w:t xml:space="preserve">data </w:t>
      </w:r>
      <w:r w:rsidR="004555C1">
        <w:t>at the headworks of the Ridgemark WWTP</w:t>
      </w:r>
      <w:r w:rsidR="00D25E6E">
        <w:t>.</w:t>
      </w:r>
      <w:r w:rsidR="004555C1">
        <w:t xml:space="preserve"> The   t</w:t>
      </w:r>
      <w:r w:rsidR="00815B59" w:rsidRPr="00257965">
        <w:t xml:space="preserve">otal annual </w:t>
      </w:r>
      <w:r w:rsidR="004555C1">
        <w:t>influent flow to the Ridgemark WW</w:t>
      </w:r>
      <w:r w:rsidR="00D25E6E">
        <w:t>T</w:t>
      </w:r>
      <w:r w:rsidR="004555C1">
        <w:t>P</w:t>
      </w:r>
      <w:r w:rsidR="00815B59" w:rsidRPr="00257965">
        <w:t xml:space="preserve"> </w:t>
      </w:r>
      <w:r w:rsidR="00C40649">
        <w:t xml:space="preserve">in </w:t>
      </w:r>
      <w:r w:rsidR="004555C1">
        <w:t>2019</w:t>
      </w:r>
      <w:r w:rsidR="00040612">
        <w:t xml:space="preserve"> was </w:t>
      </w:r>
      <w:r w:rsidR="00D25E6E">
        <w:t>168.67</w:t>
      </w:r>
      <w:r w:rsidR="00707B4E" w:rsidRPr="00D25E6E">
        <w:t xml:space="preserve"> </w:t>
      </w:r>
      <w:r w:rsidR="0006375C">
        <w:t>AF</w:t>
      </w:r>
      <w:r w:rsidR="00815B59" w:rsidRPr="00257965">
        <w:t>.</w:t>
      </w:r>
      <w:r w:rsidR="005D2ECB" w:rsidRPr="00257965">
        <w:t xml:space="preserve"> </w:t>
      </w:r>
    </w:p>
    <w:p w:rsidR="006E77A2" w:rsidRDefault="006E77A2" w:rsidP="00C075CF">
      <w:pPr>
        <w:pStyle w:val="BodyText"/>
        <w:spacing w:after="0"/>
        <w:jc w:val="left"/>
      </w:pPr>
    </w:p>
    <w:p w:rsidR="007E56AB" w:rsidRDefault="007E56AB" w:rsidP="007E56AB">
      <w:pPr>
        <w:pStyle w:val="Caption"/>
        <w:keepNext/>
      </w:pPr>
      <w:bookmarkStart w:id="7" w:name="_Ref117912674"/>
      <w:r>
        <w:t xml:space="preserve">Table </w:t>
      </w:r>
      <w:r w:rsidR="00C04A85">
        <w:rPr>
          <w:noProof/>
        </w:rPr>
        <w:fldChar w:fldCharType="begin"/>
      </w:r>
      <w:r w:rsidR="00C04A85">
        <w:rPr>
          <w:noProof/>
        </w:rPr>
        <w:instrText xml:space="preserve"> STYLEREF 1 \s </w:instrText>
      </w:r>
      <w:r w:rsidR="00C04A85">
        <w:rPr>
          <w:noProof/>
        </w:rPr>
        <w:fldChar w:fldCharType="separate"/>
      </w:r>
      <w:r w:rsidR="0009663A">
        <w:rPr>
          <w:noProof/>
        </w:rPr>
        <w:t>3</w:t>
      </w:r>
      <w:r w:rsidR="00C04A85">
        <w:rPr>
          <w:noProof/>
        </w:rPr>
        <w:fldChar w:fldCharType="end"/>
      </w:r>
      <w:r w:rsidR="00FF01CC">
        <w:noBreakHyphen/>
      </w:r>
      <w:r w:rsidR="00C04A85">
        <w:rPr>
          <w:noProof/>
        </w:rPr>
        <w:fldChar w:fldCharType="begin"/>
      </w:r>
      <w:r w:rsidR="00C04A85">
        <w:rPr>
          <w:noProof/>
        </w:rPr>
        <w:instrText xml:space="preserve"> SEQ Table \* ARABIC \s 1 </w:instrText>
      </w:r>
      <w:r w:rsidR="00C04A85">
        <w:rPr>
          <w:noProof/>
        </w:rPr>
        <w:fldChar w:fldCharType="separate"/>
      </w:r>
      <w:r w:rsidR="0009663A">
        <w:rPr>
          <w:noProof/>
        </w:rPr>
        <w:t>1</w:t>
      </w:r>
      <w:r w:rsidR="00C04A85">
        <w:rPr>
          <w:noProof/>
        </w:rPr>
        <w:fldChar w:fldCharType="end"/>
      </w:r>
      <w:bookmarkEnd w:id="7"/>
      <w:r>
        <w:t>: Facility Influent Flows</w:t>
      </w:r>
      <w:r w:rsidR="00092257">
        <w:t xml:space="preserve"> (</w:t>
      </w:r>
      <w:r w:rsidR="003F17D1">
        <w:t>Monthly</w:t>
      </w:r>
      <w:r w:rsidR="00092257">
        <w:t xml:space="preserve"> Average)</w:t>
      </w:r>
      <w:r w:rsidR="003E0DAE">
        <w:t xml:space="preserve"> to </w:t>
      </w:r>
      <w:r w:rsidR="0006375C">
        <w:t>SBR</w:t>
      </w:r>
    </w:p>
    <w:tbl>
      <w:tblPr>
        <w:tblW w:w="4500" w:type="dxa"/>
        <w:jc w:val="center"/>
        <w:tblLook w:val="04A0" w:firstRow="1" w:lastRow="0" w:firstColumn="1" w:lastColumn="0" w:noHBand="0" w:noVBand="1"/>
      </w:tblPr>
      <w:tblGrid>
        <w:gridCol w:w="1506"/>
        <w:gridCol w:w="1496"/>
        <w:gridCol w:w="1498"/>
      </w:tblGrid>
      <w:tr w:rsidR="00D25E6E" w:rsidRPr="00D25E6E" w:rsidTr="00D25E6E">
        <w:trPr>
          <w:trHeight w:val="780"/>
          <w:jc w:val="center"/>
        </w:trPr>
        <w:tc>
          <w:tcPr>
            <w:tcW w:w="1500" w:type="dxa"/>
            <w:tcBorders>
              <w:top w:val="single" w:sz="8" w:space="0" w:color="auto"/>
              <w:left w:val="single" w:sz="8" w:space="0" w:color="auto"/>
              <w:bottom w:val="nil"/>
              <w:right w:val="nil"/>
            </w:tcBorders>
            <w:shd w:val="clear" w:color="000000" w:fill="003366"/>
            <w:vAlign w:val="bottom"/>
            <w:hideMark/>
          </w:tcPr>
          <w:p w:rsidR="00D25E6E" w:rsidRPr="00D25E6E" w:rsidRDefault="00D25E6E" w:rsidP="00D25E6E">
            <w:pPr>
              <w:jc w:val="center"/>
              <w:rPr>
                <w:rFonts w:cs="Arial"/>
                <w:b/>
                <w:bCs/>
                <w:color w:val="FFFFFF"/>
                <w:sz w:val="20"/>
                <w:szCs w:val="20"/>
              </w:rPr>
            </w:pPr>
            <w:bookmarkStart w:id="8" w:name="RANGE!A3:C18"/>
            <w:r w:rsidRPr="00D25E6E">
              <w:rPr>
                <w:rFonts w:cs="Arial"/>
                <w:b/>
                <w:bCs/>
                <w:color w:val="FFFFFF"/>
                <w:sz w:val="20"/>
                <w:szCs w:val="20"/>
              </w:rPr>
              <w:t>Month</w:t>
            </w:r>
            <w:bookmarkEnd w:id="8"/>
          </w:p>
        </w:tc>
        <w:tc>
          <w:tcPr>
            <w:tcW w:w="1500" w:type="dxa"/>
            <w:tcBorders>
              <w:top w:val="single" w:sz="8" w:space="0" w:color="auto"/>
              <w:left w:val="nil"/>
              <w:bottom w:val="nil"/>
              <w:right w:val="nil"/>
            </w:tcBorders>
            <w:shd w:val="clear" w:color="000000" w:fill="003366"/>
            <w:vAlign w:val="bottom"/>
            <w:hideMark/>
          </w:tcPr>
          <w:p w:rsidR="00D25E6E" w:rsidRPr="00D25E6E" w:rsidRDefault="00D25E6E" w:rsidP="00D25E6E">
            <w:pPr>
              <w:jc w:val="center"/>
              <w:rPr>
                <w:rFonts w:cs="Arial"/>
                <w:b/>
                <w:bCs/>
                <w:color w:val="FFFFFF"/>
                <w:sz w:val="20"/>
                <w:szCs w:val="20"/>
              </w:rPr>
            </w:pPr>
            <w:r w:rsidRPr="00D25E6E">
              <w:rPr>
                <w:rFonts w:cs="Arial"/>
                <w:b/>
                <w:bCs/>
                <w:color w:val="FFFFFF"/>
                <w:sz w:val="20"/>
                <w:szCs w:val="20"/>
              </w:rPr>
              <w:t xml:space="preserve">RM I </w:t>
            </w:r>
            <w:proofErr w:type="gramStart"/>
            <w:r w:rsidRPr="00D25E6E">
              <w:rPr>
                <w:rFonts w:cs="Arial"/>
                <w:b/>
                <w:bCs/>
                <w:color w:val="FFFFFF"/>
                <w:sz w:val="20"/>
                <w:szCs w:val="20"/>
              </w:rPr>
              <w:t>SBR  Influent</w:t>
            </w:r>
            <w:proofErr w:type="gramEnd"/>
            <w:r w:rsidRPr="00D25E6E">
              <w:rPr>
                <w:rFonts w:cs="Arial"/>
                <w:b/>
                <w:bCs/>
                <w:color w:val="FFFFFF"/>
                <w:sz w:val="20"/>
                <w:szCs w:val="20"/>
              </w:rPr>
              <w:t xml:space="preserve"> (gpd)</w:t>
            </w:r>
          </w:p>
        </w:tc>
        <w:tc>
          <w:tcPr>
            <w:tcW w:w="1500" w:type="dxa"/>
            <w:tcBorders>
              <w:top w:val="single" w:sz="8" w:space="0" w:color="auto"/>
              <w:left w:val="nil"/>
              <w:bottom w:val="nil"/>
              <w:right w:val="single" w:sz="8" w:space="0" w:color="auto"/>
            </w:tcBorders>
            <w:shd w:val="clear" w:color="000000" w:fill="003366"/>
            <w:vAlign w:val="bottom"/>
            <w:hideMark/>
          </w:tcPr>
          <w:p w:rsidR="00D25E6E" w:rsidRPr="00D25E6E" w:rsidRDefault="00D25E6E" w:rsidP="00D25E6E">
            <w:pPr>
              <w:jc w:val="center"/>
              <w:rPr>
                <w:rFonts w:cs="Arial"/>
                <w:b/>
                <w:bCs/>
                <w:color w:val="FFFFFF"/>
                <w:sz w:val="20"/>
                <w:szCs w:val="20"/>
              </w:rPr>
            </w:pPr>
            <w:r w:rsidRPr="00D25E6E">
              <w:rPr>
                <w:rFonts w:cs="Arial"/>
                <w:b/>
                <w:bCs/>
                <w:color w:val="FFFFFF"/>
                <w:sz w:val="20"/>
                <w:szCs w:val="20"/>
              </w:rPr>
              <w:t>RM I SBR Influent (gallons)</w:t>
            </w:r>
          </w:p>
        </w:tc>
      </w:tr>
      <w:tr w:rsidR="00D25E6E" w:rsidRPr="00D25E6E" w:rsidTr="00D25E6E">
        <w:trPr>
          <w:trHeight w:val="375"/>
          <w:jc w:val="center"/>
        </w:trPr>
        <w:tc>
          <w:tcPr>
            <w:tcW w:w="1500" w:type="dxa"/>
            <w:tcBorders>
              <w:top w:val="nil"/>
              <w:left w:val="single" w:sz="8" w:space="0" w:color="auto"/>
              <w:bottom w:val="single" w:sz="8" w:space="0" w:color="C0C0C0"/>
              <w:right w:val="nil"/>
            </w:tcBorders>
            <w:shd w:val="clear" w:color="auto" w:fill="auto"/>
            <w:vAlign w:val="bottom"/>
            <w:hideMark/>
          </w:tcPr>
          <w:p w:rsidR="00D25E6E" w:rsidRPr="0009663A" w:rsidRDefault="00D25E6E" w:rsidP="00D25E6E">
            <w:pPr>
              <w:jc w:val="center"/>
              <w:rPr>
                <w:rFonts w:cs="Arial"/>
                <w:sz w:val="20"/>
                <w:szCs w:val="20"/>
              </w:rPr>
            </w:pPr>
            <w:r w:rsidRPr="0009663A">
              <w:rPr>
                <w:rFonts w:cs="Arial"/>
                <w:sz w:val="20"/>
                <w:szCs w:val="20"/>
              </w:rPr>
              <w:t>Jan-1</w:t>
            </w:r>
            <w:r w:rsidR="008D392F" w:rsidRPr="0009663A">
              <w:rPr>
                <w:rFonts w:cs="Arial"/>
                <w:sz w:val="20"/>
                <w:szCs w:val="20"/>
              </w:rPr>
              <w:t>9</w:t>
            </w:r>
          </w:p>
        </w:tc>
        <w:tc>
          <w:tcPr>
            <w:tcW w:w="1500" w:type="dxa"/>
            <w:tcBorders>
              <w:top w:val="nil"/>
              <w:left w:val="nil"/>
              <w:bottom w:val="single" w:sz="8" w:space="0" w:color="C0C0C0"/>
              <w:right w:val="nil"/>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153,419</w:t>
            </w:r>
          </w:p>
        </w:tc>
        <w:tc>
          <w:tcPr>
            <w:tcW w:w="1500" w:type="dxa"/>
            <w:tcBorders>
              <w:top w:val="nil"/>
              <w:left w:val="nil"/>
              <w:bottom w:val="single" w:sz="8" w:space="0" w:color="C0C0C0"/>
              <w:right w:val="single" w:sz="8" w:space="0" w:color="auto"/>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4,756,000</w:t>
            </w:r>
          </w:p>
        </w:tc>
      </w:tr>
      <w:tr w:rsidR="00D25E6E" w:rsidRPr="00D25E6E" w:rsidTr="00D25E6E">
        <w:trPr>
          <w:trHeight w:val="375"/>
          <w:jc w:val="center"/>
        </w:trPr>
        <w:tc>
          <w:tcPr>
            <w:tcW w:w="1500" w:type="dxa"/>
            <w:tcBorders>
              <w:top w:val="nil"/>
              <w:left w:val="single" w:sz="8" w:space="0" w:color="auto"/>
              <w:bottom w:val="single" w:sz="8" w:space="0" w:color="C0C0C0"/>
              <w:right w:val="nil"/>
            </w:tcBorders>
            <w:shd w:val="clear" w:color="auto" w:fill="auto"/>
            <w:vAlign w:val="bottom"/>
            <w:hideMark/>
          </w:tcPr>
          <w:p w:rsidR="00D25E6E" w:rsidRPr="0009663A" w:rsidRDefault="00D25E6E" w:rsidP="00D25E6E">
            <w:pPr>
              <w:jc w:val="center"/>
              <w:rPr>
                <w:rFonts w:cs="Arial"/>
                <w:sz w:val="20"/>
                <w:szCs w:val="20"/>
              </w:rPr>
            </w:pPr>
            <w:r w:rsidRPr="0009663A">
              <w:rPr>
                <w:rFonts w:cs="Arial"/>
                <w:sz w:val="20"/>
                <w:szCs w:val="20"/>
              </w:rPr>
              <w:t>Feb-1</w:t>
            </w:r>
            <w:r w:rsidR="008D392F" w:rsidRPr="0009663A">
              <w:rPr>
                <w:rFonts w:cs="Arial"/>
                <w:sz w:val="20"/>
                <w:szCs w:val="20"/>
              </w:rPr>
              <w:t>9</w:t>
            </w:r>
          </w:p>
        </w:tc>
        <w:tc>
          <w:tcPr>
            <w:tcW w:w="1500" w:type="dxa"/>
            <w:tcBorders>
              <w:top w:val="nil"/>
              <w:left w:val="nil"/>
              <w:bottom w:val="single" w:sz="8" w:space="0" w:color="C0C0C0"/>
              <w:right w:val="nil"/>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150,679</w:t>
            </w:r>
          </w:p>
        </w:tc>
        <w:tc>
          <w:tcPr>
            <w:tcW w:w="1500" w:type="dxa"/>
            <w:tcBorders>
              <w:top w:val="nil"/>
              <w:left w:val="nil"/>
              <w:bottom w:val="single" w:sz="8" w:space="0" w:color="C0C0C0"/>
              <w:right w:val="single" w:sz="8" w:space="0" w:color="auto"/>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4,219,000</w:t>
            </w:r>
          </w:p>
        </w:tc>
      </w:tr>
      <w:tr w:rsidR="00D25E6E" w:rsidRPr="00D25E6E" w:rsidTr="00D25E6E">
        <w:trPr>
          <w:trHeight w:val="375"/>
          <w:jc w:val="center"/>
        </w:trPr>
        <w:tc>
          <w:tcPr>
            <w:tcW w:w="1500" w:type="dxa"/>
            <w:tcBorders>
              <w:top w:val="nil"/>
              <w:left w:val="single" w:sz="8" w:space="0" w:color="auto"/>
              <w:bottom w:val="single" w:sz="8" w:space="0" w:color="C0C0C0"/>
              <w:right w:val="nil"/>
            </w:tcBorders>
            <w:shd w:val="clear" w:color="auto" w:fill="auto"/>
            <w:vAlign w:val="bottom"/>
            <w:hideMark/>
          </w:tcPr>
          <w:p w:rsidR="00D25E6E" w:rsidRPr="0009663A" w:rsidRDefault="00D25E6E" w:rsidP="00D25E6E">
            <w:pPr>
              <w:jc w:val="center"/>
              <w:rPr>
                <w:rFonts w:cs="Arial"/>
                <w:sz w:val="20"/>
                <w:szCs w:val="20"/>
              </w:rPr>
            </w:pPr>
            <w:r w:rsidRPr="0009663A">
              <w:rPr>
                <w:rFonts w:cs="Arial"/>
                <w:sz w:val="20"/>
                <w:szCs w:val="20"/>
              </w:rPr>
              <w:t>Mar-1</w:t>
            </w:r>
            <w:r w:rsidR="008D392F" w:rsidRPr="0009663A">
              <w:rPr>
                <w:rFonts w:cs="Arial"/>
                <w:sz w:val="20"/>
                <w:szCs w:val="20"/>
              </w:rPr>
              <w:t>9</w:t>
            </w:r>
          </w:p>
        </w:tc>
        <w:tc>
          <w:tcPr>
            <w:tcW w:w="1500" w:type="dxa"/>
            <w:tcBorders>
              <w:top w:val="nil"/>
              <w:left w:val="nil"/>
              <w:bottom w:val="single" w:sz="8" w:space="0" w:color="C0C0C0"/>
              <w:right w:val="nil"/>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152,581</w:t>
            </w:r>
          </w:p>
        </w:tc>
        <w:tc>
          <w:tcPr>
            <w:tcW w:w="1500" w:type="dxa"/>
            <w:tcBorders>
              <w:top w:val="nil"/>
              <w:left w:val="nil"/>
              <w:bottom w:val="single" w:sz="8" w:space="0" w:color="C0C0C0"/>
              <w:right w:val="single" w:sz="8" w:space="0" w:color="auto"/>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4,730,000</w:t>
            </w:r>
          </w:p>
        </w:tc>
      </w:tr>
      <w:tr w:rsidR="00D25E6E" w:rsidRPr="00D25E6E" w:rsidTr="00D25E6E">
        <w:trPr>
          <w:trHeight w:val="375"/>
          <w:jc w:val="center"/>
        </w:trPr>
        <w:tc>
          <w:tcPr>
            <w:tcW w:w="1500" w:type="dxa"/>
            <w:tcBorders>
              <w:top w:val="nil"/>
              <w:left w:val="single" w:sz="8" w:space="0" w:color="auto"/>
              <w:bottom w:val="single" w:sz="8" w:space="0" w:color="C0C0C0"/>
              <w:right w:val="nil"/>
            </w:tcBorders>
            <w:shd w:val="clear" w:color="auto" w:fill="auto"/>
            <w:vAlign w:val="bottom"/>
            <w:hideMark/>
          </w:tcPr>
          <w:p w:rsidR="00D25E6E" w:rsidRPr="0009663A" w:rsidRDefault="00D25E6E" w:rsidP="00D25E6E">
            <w:pPr>
              <w:jc w:val="center"/>
              <w:rPr>
                <w:rFonts w:cs="Arial"/>
                <w:sz w:val="20"/>
                <w:szCs w:val="20"/>
              </w:rPr>
            </w:pPr>
            <w:r w:rsidRPr="0009663A">
              <w:rPr>
                <w:rFonts w:cs="Arial"/>
                <w:sz w:val="20"/>
                <w:szCs w:val="20"/>
              </w:rPr>
              <w:t>Apr-1</w:t>
            </w:r>
            <w:r w:rsidR="008D392F" w:rsidRPr="0009663A">
              <w:rPr>
                <w:rFonts w:cs="Arial"/>
                <w:sz w:val="20"/>
                <w:szCs w:val="20"/>
              </w:rPr>
              <w:t>9</w:t>
            </w:r>
          </w:p>
        </w:tc>
        <w:tc>
          <w:tcPr>
            <w:tcW w:w="1500" w:type="dxa"/>
            <w:tcBorders>
              <w:top w:val="nil"/>
              <w:left w:val="nil"/>
              <w:bottom w:val="single" w:sz="8" w:space="0" w:color="C0C0C0"/>
              <w:right w:val="nil"/>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152,233</w:t>
            </w:r>
          </w:p>
        </w:tc>
        <w:tc>
          <w:tcPr>
            <w:tcW w:w="1500" w:type="dxa"/>
            <w:tcBorders>
              <w:top w:val="nil"/>
              <w:left w:val="nil"/>
              <w:bottom w:val="single" w:sz="8" w:space="0" w:color="C0C0C0"/>
              <w:right w:val="single" w:sz="8" w:space="0" w:color="auto"/>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4,567,000</w:t>
            </w:r>
          </w:p>
        </w:tc>
      </w:tr>
      <w:tr w:rsidR="00D25E6E" w:rsidRPr="00D25E6E" w:rsidTr="00D25E6E">
        <w:trPr>
          <w:trHeight w:val="375"/>
          <w:jc w:val="center"/>
        </w:trPr>
        <w:tc>
          <w:tcPr>
            <w:tcW w:w="1500" w:type="dxa"/>
            <w:tcBorders>
              <w:top w:val="nil"/>
              <w:left w:val="single" w:sz="8" w:space="0" w:color="auto"/>
              <w:bottom w:val="single" w:sz="8" w:space="0" w:color="C0C0C0"/>
              <w:right w:val="nil"/>
            </w:tcBorders>
            <w:shd w:val="clear" w:color="auto" w:fill="auto"/>
            <w:vAlign w:val="bottom"/>
            <w:hideMark/>
          </w:tcPr>
          <w:p w:rsidR="00D25E6E" w:rsidRPr="0009663A" w:rsidRDefault="00D25E6E" w:rsidP="00D25E6E">
            <w:pPr>
              <w:jc w:val="center"/>
              <w:rPr>
                <w:rFonts w:cs="Arial"/>
                <w:sz w:val="20"/>
                <w:szCs w:val="20"/>
              </w:rPr>
            </w:pPr>
            <w:r w:rsidRPr="0009663A">
              <w:rPr>
                <w:rFonts w:cs="Arial"/>
                <w:sz w:val="20"/>
                <w:szCs w:val="20"/>
              </w:rPr>
              <w:t>May-1</w:t>
            </w:r>
            <w:r w:rsidR="008D392F" w:rsidRPr="0009663A">
              <w:rPr>
                <w:rFonts w:cs="Arial"/>
                <w:sz w:val="20"/>
                <w:szCs w:val="20"/>
              </w:rPr>
              <w:t>9</w:t>
            </w:r>
          </w:p>
        </w:tc>
        <w:tc>
          <w:tcPr>
            <w:tcW w:w="1500" w:type="dxa"/>
            <w:tcBorders>
              <w:top w:val="nil"/>
              <w:left w:val="nil"/>
              <w:bottom w:val="single" w:sz="8" w:space="0" w:color="C0C0C0"/>
              <w:right w:val="nil"/>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148,839</w:t>
            </w:r>
          </w:p>
        </w:tc>
        <w:tc>
          <w:tcPr>
            <w:tcW w:w="1500" w:type="dxa"/>
            <w:tcBorders>
              <w:top w:val="nil"/>
              <w:left w:val="nil"/>
              <w:bottom w:val="single" w:sz="8" w:space="0" w:color="C0C0C0"/>
              <w:right w:val="single" w:sz="8" w:space="0" w:color="auto"/>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4,614,000</w:t>
            </w:r>
          </w:p>
        </w:tc>
      </w:tr>
      <w:tr w:rsidR="00D25E6E" w:rsidRPr="00D25E6E" w:rsidTr="00D25E6E">
        <w:trPr>
          <w:trHeight w:val="375"/>
          <w:jc w:val="center"/>
        </w:trPr>
        <w:tc>
          <w:tcPr>
            <w:tcW w:w="1500" w:type="dxa"/>
            <w:tcBorders>
              <w:top w:val="nil"/>
              <w:left w:val="single" w:sz="8" w:space="0" w:color="auto"/>
              <w:bottom w:val="single" w:sz="8" w:space="0" w:color="C0C0C0"/>
              <w:right w:val="nil"/>
            </w:tcBorders>
            <w:shd w:val="clear" w:color="auto" w:fill="auto"/>
            <w:vAlign w:val="bottom"/>
            <w:hideMark/>
          </w:tcPr>
          <w:p w:rsidR="00D25E6E" w:rsidRPr="0009663A" w:rsidRDefault="00D25E6E" w:rsidP="00D25E6E">
            <w:pPr>
              <w:jc w:val="center"/>
              <w:rPr>
                <w:rFonts w:cs="Arial"/>
                <w:sz w:val="20"/>
                <w:szCs w:val="20"/>
              </w:rPr>
            </w:pPr>
            <w:r w:rsidRPr="0009663A">
              <w:rPr>
                <w:rFonts w:cs="Arial"/>
                <w:sz w:val="20"/>
                <w:szCs w:val="20"/>
              </w:rPr>
              <w:t>Jun-1</w:t>
            </w:r>
            <w:r w:rsidR="008D392F" w:rsidRPr="0009663A">
              <w:rPr>
                <w:rFonts w:cs="Arial"/>
                <w:sz w:val="20"/>
                <w:szCs w:val="20"/>
              </w:rPr>
              <w:t>9</w:t>
            </w:r>
          </w:p>
        </w:tc>
        <w:tc>
          <w:tcPr>
            <w:tcW w:w="1500" w:type="dxa"/>
            <w:tcBorders>
              <w:top w:val="nil"/>
              <w:left w:val="nil"/>
              <w:bottom w:val="single" w:sz="8" w:space="0" w:color="C0C0C0"/>
              <w:right w:val="nil"/>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153,600</w:t>
            </w:r>
          </w:p>
        </w:tc>
        <w:tc>
          <w:tcPr>
            <w:tcW w:w="1500" w:type="dxa"/>
            <w:tcBorders>
              <w:top w:val="nil"/>
              <w:left w:val="nil"/>
              <w:bottom w:val="single" w:sz="8" w:space="0" w:color="C0C0C0"/>
              <w:right w:val="single" w:sz="8" w:space="0" w:color="auto"/>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4,608,000</w:t>
            </w:r>
          </w:p>
        </w:tc>
        <w:bookmarkStart w:id="9" w:name="_GoBack"/>
        <w:bookmarkEnd w:id="9"/>
      </w:tr>
      <w:tr w:rsidR="00D25E6E" w:rsidRPr="00D25E6E" w:rsidTr="00D25E6E">
        <w:trPr>
          <w:trHeight w:val="375"/>
          <w:jc w:val="center"/>
        </w:trPr>
        <w:tc>
          <w:tcPr>
            <w:tcW w:w="1500" w:type="dxa"/>
            <w:tcBorders>
              <w:top w:val="nil"/>
              <w:left w:val="single" w:sz="8" w:space="0" w:color="auto"/>
              <w:bottom w:val="single" w:sz="8" w:space="0" w:color="C0C0C0"/>
              <w:right w:val="nil"/>
            </w:tcBorders>
            <w:shd w:val="clear" w:color="auto" w:fill="auto"/>
            <w:vAlign w:val="bottom"/>
            <w:hideMark/>
          </w:tcPr>
          <w:p w:rsidR="00D25E6E" w:rsidRPr="0009663A" w:rsidRDefault="00D25E6E" w:rsidP="00D25E6E">
            <w:pPr>
              <w:jc w:val="center"/>
              <w:rPr>
                <w:rFonts w:cs="Arial"/>
                <w:sz w:val="20"/>
                <w:szCs w:val="20"/>
              </w:rPr>
            </w:pPr>
            <w:r w:rsidRPr="0009663A">
              <w:rPr>
                <w:rFonts w:cs="Arial"/>
                <w:sz w:val="20"/>
                <w:szCs w:val="20"/>
              </w:rPr>
              <w:t>Jul-1</w:t>
            </w:r>
            <w:r w:rsidR="008D392F" w:rsidRPr="0009663A">
              <w:rPr>
                <w:rFonts w:cs="Arial"/>
                <w:sz w:val="20"/>
                <w:szCs w:val="20"/>
              </w:rPr>
              <w:t>9</w:t>
            </w:r>
          </w:p>
        </w:tc>
        <w:tc>
          <w:tcPr>
            <w:tcW w:w="1500" w:type="dxa"/>
            <w:tcBorders>
              <w:top w:val="nil"/>
              <w:left w:val="nil"/>
              <w:bottom w:val="single" w:sz="8" w:space="0" w:color="C0C0C0"/>
              <w:right w:val="nil"/>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147,484</w:t>
            </w:r>
          </w:p>
        </w:tc>
        <w:tc>
          <w:tcPr>
            <w:tcW w:w="1500" w:type="dxa"/>
            <w:tcBorders>
              <w:top w:val="nil"/>
              <w:left w:val="nil"/>
              <w:bottom w:val="single" w:sz="8" w:space="0" w:color="C0C0C0"/>
              <w:right w:val="single" w:sz="8" w:space="0" w:color="auto"/>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4,572,000</w:t>
            </w:r>
          </w:p>
        </w:tc>
      </w:tr>
      <w:tr w:rsidR="00D25E6E" w:rsidRPr="00D25E6E" w:rsidTr="00D25E6E">
        <w:trPr>
          <w:trHeight w:val="375"/>
          <w:jc w:val="center"/>
        </w:trPr>
        <w:tc>
          <w:tcPr>
            <w:tcW w:w="1500" w:type="dxa"/>
            <w:tcBorders>
              <w:top w:val="nil"/>
              <w:left w:val="single" w:sz="8" w:space="0" w:color="auto"/>
              <w:bottom w:val="single" w:sz="8" w:space="0" w:color="C0C0C0"/>
              <w:right w:val="nil"/>
            </w:tcBorders>
            <w:shd w:val="clear" w:color="auto" w:fill="auto"/>
            <w:vAlign w:val="bottom"/>
            <w:hideMark/>
          </w:tcPr>
          <w:p w:rsidR="00D25E6E" w:rsidRPr="0009663A" w:rsidRDefault="00D25E6E" w:rsidP="00D25E6E">
            <w:pPr>
              <w:jc w:val="center"/>
              <w:rPr>
                <w:rFonts w:cs="Arial"/>
                <w:sz w:val="20"/>
                <w:szCs w:val="20"/>
              </w:rPr>
            </w:pPr>
            <w:r w:rsidRPr="0009663A">
              <w:rPr>
                <w:rFonts w:cs="Arial"/>
                <w:sz w:val="20"/>
                <w:szCs w:val="20"/>
              </w:rPr>
              <w:t>Aug-1</w:t>
            </w:r>
            <w:r w:rsidR="008D392F" w:rsidRPr="0009663A">
              <w:rPr>
                <w:rFonts w:cs="Arial"/>
                <w:sz w:val="20"/>
                <w:szCs w:val="20"/>
              </w:rPr>
              <w:t>9</w:t>
            </w:r>
          </w:p>
        </w:tc>
        <w:tc>
          <w:tcPr>
            <w:tcW w:w="1500" w:type="dxa"/>
            <w:tcBorders>
              <w:top w:val="nil"/>
              <w:left w:val="nil"/>
              <w:bottom w:val="single" w:sz="8" w:space="0" w:color="C0C0C0"/>
              <w:right w:val="nil"/>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149,097</w:t>
            </w:r>
          </w:p>
        </w:tc>
        <w:tc>
          <w:tcPr>
            <w:tcW w:w="1500" w:type="dxa"/>
            <w:tcBorders>
              <w:top w:val="nil"/>
              <w:left w:val="nil"/>
              <w:bottom w:val="single" w:sz="8" w:space="0" w:color="C0C0C0"/>
              <w:right w:val="single" w:sz="8" w:space="0" w:color="auto"/>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4,622,000</w:t>
            </w:r>
          </w:p>
        </w:tc>
      </w:tr>
      <w:tr w:rsidR="00D25E6E" w:rsidRPr="00D25E6E" w:rsidTr="00D25E6E">
        <w:trPr>
          <w:trHeight w:val="375"/>
          <w:jc w:val="center"/>
        </w:trPr>
        <w:tc>
          <w:tcPr>
            <w:tcW w:w="1500" w:type="dxa"/>
            <w:tcBorders>
              <w:top w:val="nil"/>
              <w:left w:val="single" w:sz="8" w:space="0" w:color="auto"/>
              <w:bottom w:val="single" w:sz="8" w:space="0" w:color="C0C0C0"/>
              <w:right w:val="nil"/>
            </w:tcBorders>
            <w:shd w:val="clear" w:color="auto" w:fill="auto"/>
            <w:vAlign w:val="bottom"/>
            <w:hideMark/>
          </w:tcPr>
          <w:p w:rsidR="00D25E6E" w:rsidRPr="0009663A" w:rsidRDefault="00D25E6E" w:rsidP="00D25E6E">
            <w:pPr>
              <w:jc w:val="center"/>
              <w:rPr>
                <w:rFonts w:cs="Arial"/>
                <w:sz w:val="20"/>
                <w:szCs w:val="20"/>
              </w:rPr>
            </w:pPr>
            <w:r w:rsidRPr="0009663A">
              <w:rPr>
                <w:rFonts w:cs="Arial"/>
                <w:sz w:val="20"/>
                <w:szCs w:val="20"/>
              </w:rPr>
              <w:t>Sep-1</w:t>
            </w:r>
            <w:r w:rsidR="008D392F" w:rsidRPr="0009663A">
              <w:rPr>
                <w:rFonts w:cs="Arial"/>
                <w:sz w:val="20"/>
                <w:szCs w:val="20"/>
              </w:rPr>
              <w:t>9</w:t>
            </w:r>
          </w:p>
        </w:tc>
        <w:tc>
          <w:tcPr>
            <w:tcW w:w="1500" w:type="dxa"/>
            <w:tcBorders>
              <w:top w:val="nil"/>
              <w:left w:val="nil"/>
              <w:bottom w:val="single" w:sz="8" w:space="0" w:color="C0C0C0"/>
              <w:right w:val="nil"/>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149,367</w:t>
            </w:r>
          </w:p>
        </w:tc>
        <w:tc>
          <w:tcPr>
            <w:tcW w:w="1500" w:type="dxa"/>
            <w:tcBorders>
              <w:top w:val="nil"/>
              <w:left w:val="nil"/>
              <w:bottom w:val="single" w:sz="8" w:space="0" w:color="C0C0C0"/>
              <w:right w:val="single" w:sz="8" w:space="0" w:color="auto"/>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4,481,000</w:t>
            </w:r>
          </w:p>
        </w:tc>
      </w:tr>
      <w:tr w:rsidR="00D25E6E" w:rsidRPr="00D25E6E" w:rsidTr="00D25E6E">
        <w:trPr>
          <w:trHeight w:val="375"/>
          <w:jc w:val="center"/>
        </w:trPr>
        <w:tc>
          <w:tcPr>
            <w:tcW w:w="1500" w:type="dxa"/>
            <w:tcBorders>
              <w:top w:val="nil"/>
              <w:left w:val="single" w:sz="8" w:space="0" w:color="auto"/>
              <w:bottom w:val="single" w:sz="8" w:space="0" w:color="C0C0C0"/>
              <w:right w:val="nil"/>
            </w:tcBorders>
            <w:shd w:val="clear" w:color="auto" w:fill="auto"/>
            <w:vAlign w:val="bottom"/>
            <w:hideMark/>
          </w:tcPr>
          <w:p w:rsidR="00D25E6E" w:rsidRPr="0009663A" w:rsidRDefault="00D25E6E" w:rsidP="00D25E6E">
            <w:pPr>
              <w:jc w:val="center"/>
              <w:rPr>
                <w:rFonts w:cs="Arial"/>
                <w:sz w:val="20"/>
                <w:szCs w:val="20"/>
              </w:rPr>
            </w:pPr>
            <w:r w:rsidRPr="0009663A">
              <w:rPr>
                <w:rFonts w:cs="Arial"/>
                <w:sz w:val="20"/>
                <w:szCs w:val="20"/>
              </w:rPr>
              <w:t>Oct-1</w:t>
            </w:r>
            <w:r w:rsidR="008D392F" w:rsidRPr="0009663A">
              <w:rPr>
                <w:rFonts w:cs="Arial"/>
                <w:sz w:val="20"/>
                <w:szCs w:val="20"/>
              </w:rPr>
              <w:t>9</w:t>
            </w:r>
          </w:p>
        </w:tc>
        <w:tc>
          <w:tcPr>
            <w:tcW w:w="1500" w:type="dxa"/>
            <w:tcBorders>
              <w:top w:val="nil"/>
              <w:left w:val="nil"/>
              <w:bottom w:val="single" w:sz="8" w:space="0" w:color="C0C0C0"/>
              <w:right w:val="nil"/>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143,129</w:t>
            </w:r>
          </w:p>
        </w:tc>
        <w:tc>
          <w:tcPr>
            <w:tcW w:w="1500" w:type="dxa"/>
            <w:tcBorders>
              <w:top w:val="nil"/>
              <w:left w:val="nil"/>
              <w:bottom w:val="single" w:sz="8" w:space="0" w:color="C0C0C0"/>
              <w:right w:val="single" w:sz="8" w:space="0" w:color="auto"/>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4,437,000</w:t>
            </w:r>
          </w:p>
        </w:tc>
      </w:tr>
      <w:tr w:rsidR="00D25E6E" w:rsidRPr="00D25E6E" w:rsidTr="00D25E6E">
        <w:trPr>
          <w:trHeight w:val="375"/>
          <w:jc w:val="center"/>
        </w:trPr>
        <w:tc>
          <w:tcPr>
            <w:tcW w:w="1500" w:type="dxa"/>
            <w:tcBorders>
              <w:top w:val="nil"/>
              <w:left w:val="single" w:sz="8" w:space="0" w:color="auto"/>
              <w:bottom w:val="single" w:sz="8" w:space="0" w:color="C0C0C0"/>
              <w:right w:val="nil"/>
            </w:tcBorders>
            <w:shd w:val="clear" w:color="auto" w:fill="auto"/>
            <w:vAlign w:val="bottom"/>
            <w:hideMark/>
          </w:tcPr>
          <w:p w:rsidR="00D25E6E" w:rsidRPr="0009663A" w:rsidRDefault="00D25E6E" w:rsidP="00D25E6E">
            <w:pPr>
              <w:jc w:val="center"/>
              <w:rPr>
                <w:rFonts w:cs="Arial"/>
                <w:sz w:val="20"/>
                <w:szCs w:val="20"/>
              </w:rPr>
            </w:pPr>
            <w:r w:rsidRPr="0009663A">
              <w:rPr>
                <w:rFonts w:cs="Arial"/>
                <w:sz w:val="20"/>
                <w:szCs w:val="20"/>
              </w:rPr>
              <w:t>Nov-1</w:t>
            </w:r>
            <w:r w:rsidR="008D392F" w:rsidRPr="0009663A">
              <w:rPr>
                <w:rFonts w:cs="Arial"/>
                <w:sz w:val="20"/>
                <w:szCs w:val="20"/>
              </w:rPr>
              <w:t>9</w:t>
            </w:r>
          </w:p>
        </w:tc>
        <w:tc>
          <w:tcPr>
            <w:tcW w:w="1500" w:type="dxa"/>
            <w:tcBorders>
              <w:top w:val="nil"/>
              <w:left w:val="nil"/>
              <w:bottom w:val="single" w:sz="8" w:space="0" w:color="C0C0C0"/>
              <w:right w:val="nil"/>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150,133</w:t>
            </w:r>
          </w:p>
        </w:tc>
        <w:tc>
          <w:tcPr>
            <w:tcW w:w="1500" w:type="dxa"/>
            <w:tcBorders>
              <w:top w:val="nil"/>
              <w:left w:val="nil"/>
              <w:bottom w:val="single" w:sz="8" w:space="0" w:color="C0C0C0"/>
              <w:right w:val="single" w:sz="8" w:space="0" w:color="auto"/>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4,504,000</w:t>
            </w:r>
          </w:p>
        </w:tc>
      </w:tr>
      <w:tr w:rsidR="00D25E6E" w:rsidRPr="00D25E6E" w:rsidTr="00D25E6E">
        <w:trPr>
          <w:trHeight w:val="375"/>
          <w:jc w:val="center"/>
        </w:trPr>
        <w:tc>
          <w:tcPr>
            <w:tcW w:w="1500" w:type="dxa"/>
            <w:tcBorders>
              <w:top w:val="nil"/>
              <w:left w:val="single" w:sz="8" w:space="0" w:color="auto"/>
              <w:bottom w:val="single" w:sz="8" w:space="0" w:color="C0C0C0"/>
              <w:right w:val="nil"/>
            </w:tcBorders>
            <w:shd w:val="clear" w:color="auto" w:fill="auto"/>
            <w:vAlign w:val="bottom"/>
            <w:hideMark/>
          </w:tcPr>
          <w:p w:rsidR="00D25E6E" w:rsidRPr="0009663A" w:rsidRDefault="00D25E6E" w:rsidP="00D25E6E">
            <w:pPr>
              <w:jc w:val="center"/>
              <w:rPr>
                <w:rFonts w:cs="Arial"/>
                <w:sz w:val="20"/>
                <w:szCs w:val="20"/>
              </w:rPr>
            </w:pPr>
            <w:r w:rsidRPr="0009663A">
              <w:rPr>
                <w:rFonts w:cs="Arial"/>
                <w:sz w:val="20"/>
                <w:szCs w:val="20"/>
              </w:rPr>
              <w:t>Dec-1</w:t>
            </w:r>
            <w:r w:rsidR="008D392F" w:rsidRPr="0009663A">
              <w:rPr>
                <w:rFonts w:cs="Arial"/>
                <w:sz w:val="20"/>
                <w:szCs w:val="20"/>
              </w:rPr>
              <w:t>9</w:t>
            </w:r>
          </w:p>
        </w:tc>
        <w:tc>
          <w:tcPr>
            <w:tcW w:w="1500" w:type="dxa"/>
            <w:tcBorders>
              <w:top w:val="nil"/>
              <w:left w:val="nil"/>
              <w:bottom w:val="single" w:sz="8" w:space="0" w:color="C0C0C0"/>
              <w:right w:val="nil"/>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156,452</w:t>
            </w:r>
          </w:p>
        </w:tc>
        <w:tc>
          <w:tcPr>
            <w:tcW w:w="1500" w:type="dxa"/>
            <w:tcBorders>
              <w:top w:val="nil"/>
              <w:left w:val="nil"/>
              <w:bottom w:val="single" w:sz="8" w:space="0" w:color="C0C0C0"/>
              <w:right w:val="single" w:sz="8" w:space="0" w:color="auto"/>
            </w:tcBorders>
            <w:shd w:val="clear" w:color="auto" w:fill="auto"/>
            <w:vAlign w:val="bottom"/>
            <w:hideMark/>
          </w:tcPr>
          <w:p w:rsidR="00D25E6E" w:rsidRPr="00D25E6E" w:rsidRDefault="00D25E6E" w:rsidP="00D25E6E">
            <w:pPr>
              <w:jc w:val="center"/>
              <w:rPr>
                <w:rFonts w:cs="Arial"/>
                <w:color w:val="000000"/>
                <w:sz w:val="20"/>
                <w:szCs w:val="20"/>
              </w:rPr>
            </w:pPr>
            <w:r w:rsidRPr="00D25E6E">
              <w:rPr>
                <w:rFonts w:cs="Arial"/>
                <w:color w:val="000000"/>
                <w:sz w:val="20"/>
                <w:szCs w:val="20"/>
              </w:rPr>
              <w:t>4,850,000</w:t>
            </w:r>
          </w:p>
        </w:tc>
      </w:tr>
      <w:tr w:rsidR="00D25E6E" w:rsidRPr="00D25E6E" w:rsidTr="00D25E6E">
        <w:trPr>
          <w:trHeight w:val="540"/>
          <w:jc w:val="center"/>
        </w:trPr>
        <w:tc>
          <w:tcPr>
            <w:tcW w:w="1500" w:type="dxa"/>
            <w:tcBorders>
              <w:top w:val="nil"/>
              <w:left w:val="single" w:sz="8" w:space="0" w:color="auto"/>
              <w:bottom w:val="single" w:sz="8" w:space="0" w:color="C0C0C0"/>
              <w:right w:val="nil"/>
            </w:tcBorders>
            <w:shd w:val="clear" w:color="auto" w:fill="auto"/>
            <w:vAlign w:val="bottom"/>
            <w:hideMark/>
          </w:tcPr>
          <w:p w:rsidR="00D25E6E" w:rsidRPr="00D25E6E" w:rsidRDefault="00D25E6E" w:rsidP="00D25E6E">
            <w:pPr>
              <w:jc w:val="center"/>
              <w:rPr>
                <w:rFonts w:cs="Arial"/>
                <w:b/>
                <w:bCs/>
                <w:sz w:val="20"/>
                <w:szCs w:val="20"/>
              </w:rPr>
            </w:pPr>
            <w:r w:rsidRPr="00D25E6E">
              <w:rPr>
                <w:rFonts w:cs="Arial"/>
                <w:b/>
                <w:bCs/>
                <w:sz w:val="20"/>
                <w:szCs w:val="20"/>
              </w:rPr>
              <w:t>Annual Total (Gallons)</w:t>
            </w:r>
          </w:p>
        </w:tc>
        <w:tc>
          <w:tcPr>
            <w:tcW w:w="1500" w:type="dxa"/>
            <w:tcBorders>
              <w:top w:val="nil"/>
              <w:left w:val="nil"/>
              <w:bottom w:val="single" w:sz="8" w:space="0" w:color="C0C0C0"/>
              <w:right w:val="nil"/>
            </w:tcBorders>
            <w:shd w:val="clear" w:color="auto" w:fill="auto"/>
            <w:vAlign w:val="bottom"/>
            <w:hideMark/>
          </w:tcPr>
          <w:p w:rsidR="00D25E6E" w:rsidRPr="00D25E6E" w:rsidRDefault="00D25E6E" w:rsidP="00D25E6E">
            <w:pPr>
              <w:jc w:val="center"/>
              <w:rPr>
                <w:rFonts w:cs="Arial"/>
                <w:b/>
                <w:bCs/>
                <w:sz w:val="20"/>
                <w:szCs w:val="20"/>
              </w:rPr>
            </w:pPr>
            <w:r w:rsidRPr="00D25E6E">
              <w:rPr>
                <w:rFonts w:cs="Arial"/>
                <w:b/>
                <w:bCs/>
                <w:sz w:val="20"/>
                <w:szCs w:val="20"/>
              </w:rPr>
              <w:t> </w:t>
            </w:r>
          </w:p>
        </w:tc>
        <w:tc>
          <w:tcPr>
            <w:tcW w:w="1500" w:type="dxa"/>
            <w:tcBorders>
              <w:top w:val="nil"/>
              <w:left w:val="nil"/>
              <w:bottom w:val="single" w:sz="8" w:space="0" w:color="C0C0C0"/>
              <w:right w:val="single" w:sz="8" w:space="0" w:color="auto"/>
            </w:tcBorders>
            <w:shd w:val="clear" w:color="auto" w:fill="auto"/>
            <w:vAlign w:val="bottom"/>
            <w:hideMark/>
          </w:tcPr>
          <w:p w:rsidR="00D25E6E" w:rsidRPr="00D25E6E" w:rsidRDefault="00D25E6E" w:rsidP="00D25E6E">
            <w:pPr>
              <w:jc w:val="center"/>
              <w:rPr>
                <w:rFonts w:cs="Arial"/>
                <w:b/>
                <w:bCs/>
                <w:sz w:val="20"/>
                <w:szCs w:val="20"/>
              </w:rPr>
            </w:pPr>
            <w:r w:rsidRPr="00D25E6E">
              <w:rPr>
                <w:rFonts w:cs="Arial"/>
                <w:b/>
                <w:bCs/>
                <w:sz w:val="20"/>
                <w:szCs w:val="20"/>
              </w:rPr>
              <w:t>54,960,000</w:t>
            </w:r>
          </w:p>
        </w:tc>
      </w:tr>
      <w:tr w:rsidR="00D25E6E" w:rsidRPr="00D25E6E" w:rsidTr="00D25E6E">
        <w:trPr>
          <w:trHeight w:val="540"/>
          <w:jc w:val="center"/>
        </w:trPr>
        <w:tc>
          <w:tcPr>
            <w:tcW w:w="1500" w:type="dxa"/>
            <w:tcBorders>
              <w:top w:val="nil"/>
              <w:left w:val="single" w:sz="8" w:space="0" w:color="auto"/>
              <w:bottom w:val="single" w:sz="8" w:space="0" w:color="C0C0C0"/>
              <w:right w:val="nil"/>
            </w:tcBorders>
            <w:shd w:val="clear" w:color="auto" w:fill="auto"/>
            <w:vAlign w:val="bottom"/>
            <w:hideMark/>
          </w:tcPr>
          <w:p w:rsidR="00D25E6E" w:rsidRPr="00D25E6E" w:rsidRDefault="00D25E6E" w:rsidP="00D25E6E">
            <w:pPr>
              <w:jc w:val="center"/>
              <w:rPr>
                <w:rFonts w:cs="Arial"/>
                <w:b/>
                <w:bCs/>
                <w:sz w:val="20"/>
                <w:szCs w:val="20"/>
              </w:rPr>
            </w:pPr>
            <w:r w:rsidRPr="00D25E6E">
              <w:rPr>
                <w:rFonts w:cs="Arial"/>
                <w:b/>
                <w:bCs/>
                <w:sz w:val="20"/>
                <w:szCs w:val="20"/>
              </w:rPr>
              <w:t>Annual Total (Acre Feet)</w:t>
            </w:r>
          </w:p>
        </w:tc>
        <w:tc>
          <w:tcPr>
            <w:tcW w:w="1500" w:type="dxa"/>
            <w:tcBorders>
              <w:top w:val="nil"/>
              <w:left w:val="nil"/>
              <w:bottom w:val="single" w:sz="8" w:space="0" w:color="C0C0C0"/>
              <w:right w:val="nil"/>
            </w:tcBorders>
            <w:shd w:val="clear" w:color="auto" w:fill="auto"/>
            <w:vAlign w:val="bottom"/>
            <w:hideMark/>
          </w:tcPr>
          <w:p w:rsidR="00D25E6E" w:rsidRPr="00D25E6E" w:rsidRDefault="00D25E6E" w:rsidP="00D25E6E">
            <w:pPr>
              <w:jc w:val="center"/>
              <w:rPr>
                <w:rFonts w:cs="Arial"/>
                <w:b/>
                <w:bCs/>
                <w:sz w:val="20"/>
                <w:szCs w:val="20"/>
              </w:rPr>
            </w:pPr>
            <w:r w:rsidRPr="00D25E6E">
              <w:rPr>
                <w:rFonts w:cs="Arial"/>
                <w:b/>
                <w:bCs/>
                <w:sz w:val="20"/>
                <w:szCs w:val="20"/>
              </w:rPr>
              <w:t> </w:t>
            </w:r>
          </w:p>
        </w:tc>
        <w:tc>
          <w:tcPr>
            <w:tcW w:w="1500" w:type="dxa"/>
            <w:tcBorders>
              <w:top w:val="nil"/>
              <w:left w:val="nil"/>
              <w:bottom w:val="single" w:sz="8" w:space="0" w:color="C0C0C0"/>
              <w:right w:val="single" w:sz="8" w:space="0" w:color="auto"/>
            </w:tcBorders>
            <w:shd w:val="clear" w:color="auto" w:fill="auto"/>
            <w:vAlign w:val="bottom"/>
            <w:hideMark/>
          </w:tcPr>
          <w:p w:rsidR="00D25E6E" w:rsidRPr="00D25E6E" w:rsidRDefault="00D25E6E" w:rsidP="00D25E6E">
            <w:pPr>
              <w:jc w:val="center"/>
              <w:rPr>
                <w:rFonts w:cs="Arial"/>
                <w:b/>
                <w:bCs/>
                <w:sz w:val="20"/>
                <w:szCs w:val="20"/>
              </w:rPr>
            </w:pPr>
            <w:r w:rsidRPr="00D25E6E">
              <w:rPr>
                <w:rFonts w:cs="Arial"/>
                <w:b/>
                <w:bCs/>
                <w:sz w:val="20"/>
                <w:szCs w:val="20"/>
              </w:rPr>
              <w:t>168.67</w:t>
            </w:r>
          </w:p>
        </w:tc>
      </w:tr>
      <w:tr w:rsidR="00D25E6E" w:rsidRPr="00D25E6E" w:rsidTr="00D25E6E">
        <w:trPr>
          <w:trHeight w:val="540"/>
          <w:jc w:val="center"/>
        </w:trPr>
        <w:tc>
          <w:tcPr>
            <w:tcW w:w="1500" w:type="dxa"/>
            <w:tcBorders>
              <w:top w:val="nil"/>
              <w:left w:val="single" w:sz="8" w:space="0" w:color="auto"/>
              <w:bottom w:val="single" w:sz="8" w:space="0" w:color="auto"/>
              <w:right w:val="nil"/>
            </w:tcBorders>
            <w:shd w:val="clear" w:color="auto" w:fill="auto"/>
            <w:vAlign w:val="bottom"/>
            <w:hideMark/>
          </w:tcPr>
          <w:p w:rsidR="00D25E6E" w:rsidRPr="00D25E6E" w:rsidRDefault="00D25E6E" w:rsidP="00D25E6E">
            <w:pPr>
              <w:jc w:val="center"/>
              <w:rPr>
                <w:rFonts w:cs="Arial"/>
                <w:b/>
                <w:bCs/>
                <w:sz w:val="20"/>
                <w:szCs w:val="20"/>
              </w:rPr>
            </w:pPr>
            <w:r w:rsidRPr="00D25E6E">
              <w:rPr>
                <w:rFonts w:cs="Arial"/>
                <w:b/>
                <w:bCs/>
                <w:sz w:val="20"/>
                <w:szCs w:val="20"/>
              </w:rPr>
              <w:t>Annual Average(gpd)</w:t>
            </w:r>
          </w:p>
        </w:tc>
        <w:tc>
          <w:tcPr>
            <w:tcW w:w="1500" w:type="dxa"/>
            <w:tcBorders>
              <w:top w:val="nil"/>
              <w:left w:val="nil"/>
              <w:bottom w:val="single" w:sz="8" w:space="0" w:color="auto"/>
              <w:right w:val="nil"/>
            </w:tcBorders>
            <w:shd w:val="clear" w:color="auto" w:fill="auto"/>
            <w:vAlign w:val="bottom"/>
            <w:hideMark/>
          </w:tcPr>
          <w:p w:rsidR="00D25E6E" w:rsidRPr="00D25E6E" w:rsidRDefault="00D25E6E" w:rsidP="00D25E6E">
            <w:pPr>
              <w:jc w:val="center"/>
              <w:rPr>
                <w:rFonts w:cs="Arial"/>
                <w:b/>
                <w:bCs/>
                <w:sz w:val="20"/>
                <w:szCs w:val="20"/>
              </w:rPr>
            </w:pPr>
            <w:r w:rsidRPr="00D25E6E">
              <w:rPr>
                <w:rFonts w:cs="Arial"/>
                <w:b/>
                <w:bCs/>
                <w:sz w:val="20"/>
                <w:szCs w:val="20"/>
              </w:rPr>
              <w:t>150,584</w:t>
            </w:r>
          </w:p>
        </w:tc>
        <w:tc>
          <w:tcPr>
            <w:tcW w:w="1500" w:type="dxa"/>
            <w:tcBorders>
              <w:top w:val="nil"/>
              <w:left w:val="nil"/>
              <w:bottom w:val="single" w:sz="8" w:space="0" w:color="auto"/>
              <w:right w:val="single" w:sz="8" w:space="0" w:color="auto"/>
            </w:tcBorders>
            <w:shd w:val="clear" w:color="auto" w:fill="auto"/>
            <w:vAlign w:val="bottom"/>
            <w:hideMark/>
          </w:tcPr>
          <w:p w:rsidR="00D25E6E" w:rsidRPr="00D25E6E" w:rsidRDefault="00D25E6E" w:rsidP="00D25E6E">
            <w:pPr>
              <w:jc w:val="center"/>
              <w:rPr>
                <w:rFonts w:cs="Arial"/>
                <w:b/>
                <w:bCs/>
                <w:sz w:val="20"/>
                <w:szCs w:val="20"/>
              </w:rPr>
            </w:pPr>
            <w:r w:rsidRPr="00D25E6E">
              <w:rPr>
                <w:rFonts w:cs="Arial"/>
                <w:b/>
                <w:bCs/>
                <w:sz w:val="20"/>
                <w:szCs w:val="20"/>
              </w:rPr>
              <w:t> </w:t>
            </w:r>
          </w:p>
        </w:tc>
      </w:tr>
    </w:tbl>
    <w:p w:rsidR="00F61945" w:rsidRPr="00C075CF" w:rsidRDefault="00F61945" w:rsidP="00D25E6E">
      <w:pPr>
        <w:jc w:val="center"/>
        <w:rPr>
          <w:color w:val="000000"/>
        </w:rPr>
      </w:pPr>
    </w:p>
    <w:p w:rsidR="00F11DDB" w:rsidRDefault="00F61945" w:rsidP="00C04A85">
      <w:pPr>
        <w:pStyle w:val="BodyText"/>
        <w:jc w:val="center"/>
      </w:pPr>
      <w:r w:rsidRPr="00C075CF">
        <w:t xml:space="preserve">Note: Influent flow rate is the average daily value over each month. </w:t>
      </w:r>
    </w:p>
    <w:p w:rsidR="003D5B2C" w:rsidRDefault="003D5B2C" w:rsidP="00C04A85">
      <w:pPr>
        <w:pStyle w:val="BodyText"/>
        <w:jc w:val="center"/>
      </w:pPr>
    </w:p>
    <w:p w:rsidR="003D5B2C" w:rsidRDefault="003D5B2C" w:rsidP="00C04A85">
      <w:pPr>
        <w:pStyle w:val="BodyText"/>
        <w:jc w:val="center"/>
      </w:pPr>
    </w:p>
    <w:p w:rsidR="00602600" w:rsidRDefault="008E180B" w:rsidP="00107DD2">
      <w:pPr>
        <w:pStyle w:val="Heading2"/>
      </w:pPr>
      <w:bookmarkStart w:id="10" w:name="_Toc125348628"/>
      <w:r>
        <w:lastRenderedPageBreak/>
        <w:t>P</w:t>
      </w:r>
      <w:r w:rsidR="00107DD2">
        <w:t>recipitation</w:t>
      </w:r>
      <w:bookmarkEnd w:id="10"/>
    </w:p>
    <w:p w:rsidR="003D5B2C" w:rsidRPr="006E5BD6" w:rsidRDefault="00F60E64" w:rsidP="00D25E6E">
      <w:pPr>
        <w:pStyle w:val="BodyText"/>
        <w:rPr>
          <w:b/>
          <w:color w:val="FF0000"/>
        </w:rPr>
      </w:pPr>
      <w:r>
        <w:t xml:space="preserve">Precipitation data for the water balance is based on the California Irrigation Management Information System (CIMIS) station </w:t>
      </w:r>
      <w:r w:rsidR="00A13AAC">
        <w:t xml:space="preserve">#126 </w:t>
      </w:r>
      <w:r>
        <w:t xml:space="preserve">located at the San Benito County Water District (SBCWD) offices (approximately 3-miles from the Ridgemark </w:t>
      </w:r>
      <w:r w:rsidR="00E73B14">
        <w:t>WWTP</w:t>
      </w:r>
      <w:r w:rsidR="00FD6D71">
        <w:t>).  The monthly precipitation</w:t>
      </w:r>
      <w:r>
        <w:t xml:space="preserve"> for </w:t>
      </w:r>
      <w:r w:rsidR="00E73B14">
        <w:t>2019</w:t>
      </w:r>
      <w:r>
        <w:t xml:space="preserve"> </w:t>
      </w:r>
      <w:r w:rsidR="00FD6D71">
        <w:t>is shown</w:t>
      </w:r>
      <w:r>
        <w:t xml:space="preserve"> in </w:t>
      </w:r>
      <w:r w:rsidR="00F11DDB">
        <w:t>table 3-2</w:t>
      </w:r>
      <w:r w:rsidR="001412D1">
        <w:t>.</w:t>
      </w:r>
      <w:bookmarkStart w:id="11" w:name="_Ref117911964"/>
    </w:p>
    <w:p w:rsidR="00F60E64" w:rsidRPr="00C075CF" w:rsidRDefault="00F60E64" w:rsidP="00F11DDB">
      <w:pPr>
        <w:pStyle w:val="BodyText"/>
        <w:jc w:val="center"/>
        <w:rPr>
          <w:b/>
        </w:rPr>
      </w:pPr>
      <w:r w:rsidRPr="00C075CF">
        <w:rPr>
          <w:b/>
        </w:rPr>
        <w:t xml:space="preserve">Table </w:t>
      </w:r>
      <w:r w:rsidR="00FF01CC" w:rsidRPr="00C075CF">
        <w:rPr>
          <w:b/>
        </w:rPr>
        <w:fldChar w:fldCharType="begin"/>
      </w:r>
      <w:r w:rsidR="00FF01CC" w:rsidRPr="00C075CF">
        <w:rPr>
          <w:b/>
        </w:rPr>
        <w:instrText xml:space="preserve"> STYLEREF 1 \s </w:instrText>
      </w:r>
      <w:r w:rsidR="00FF01CC" w:rsidRPr="00C075CF">
        <w:rPr>
          <w:b/>
        </w:rPr>
        <w:fldChar w:fldCharType="separate"/>
      </w:r>
      <w:r w:rsidR="0009663A">
        <w:rPr>
          <w:b/>
          <w:noProof/>
        </w:rPr>
        <w:t>3</w:t>
      </w:r>
      <w:r w:rsidR="00FF01CC" w:rsidRPr="00C075CF">
        <w:rPr>
          <w:b/>
        </w:rPr>
        <w:fldChar w:fldCharType="end"/>
      </w:r>
      <w:r w:rsidR="00FF01CC" w:rsidRPr="00C075CF">
        <w:rPr>
          <w:b/>
        </w:rPr>
        <w:noBreakHyphen/>
      </w:r>
      <w:bookmarkEnd w:id="11"/>
      <w:r w:rsidR="00F11DDB">
        <w:rPr>
          <w:b/>
        </w:rPr>
        <w:t>2</w:t>
      </w:r>
      <w:r w:rsidR="00F77345" w:rsidRPr="00C075CF">
        <w:rPr>
          <w:b/>
        </w:rPr>
        <w:t xml:space="preserve">: </w:t>
      </w:r>
      <w:r w:rsidR="00E73B14">
        <w:rPr>
          <w:b/>
        </w:rPr>
        <w:t>2019</w:t>
      </w:r>
      <w:r w:rsidR="001C249E">
        <w:rPr>
          <w:b/>
        </w:rPr>
        <w:t xml:space="preserve"> </w:t>
      </w:r>
      <w:r w:rsidRPr="00C075CF">
        <w:rPr>
          <w:b/>
        </w:rPr>
        <w:t>Precipitation Data</w:t>
      </w:r>
    </w:p>
    <w:tbl>
      <w:tblPr>
        <w:tblW w:w="0" w:type="auto"/>
        <w:jc w:val="center"/>
        <w:tblBorders>
          <w:top w:val="single" w:sz="12" w:space="0" w:color="0D2B88"/>
          <w:left w:val="single" w:sz="12" w:space="0" w:color="0D2B88"/>
          <w:bottom w:val="single" w:sz="12" w:space="0" w:color="0D2B88"/>
          <w:right w:val="single" w:sz="12" w:space="0" w:color="0D2B88"/>
        </w:tblBorders>
        <w:tblLook w:val="01E0" w:firstRow="1" w:lastRow="1" w:firstColumn="1" w:lastColumn="1" w:noHBand="0" w:noVBand="0"/>
      </w:tblPr>
      <w:tblGrid>
        <w:gridCol w:w="2040"/>
        <w:gridCol w:w="1974"/>
      </w:tblGrid>
      <w:tr w:rsidR="00F60E64" w:rsidRPr="00736082" w:rsidTr="00C075CF">
        <w:trPr>
          <w:cantSplit/>
          <w:trHeight w:val="218"/>
          <w:jc w:val="center"/>
        </w:trPr>
        <w:tc>
          <w:tcPr>
            <w:tcW w:w="2040" w:type="dxa"/>
            <w:shd w:val="clear" w:color="auto" w:fill="0D2B88"/>
            <w:vAlign w:val="bottom"/>
          </w:tcPr>
          <w:p w:rsidR="00F60E64" w:rsidRPr="00B91316" w:rsidRDefault="00F60E64" w:rsidP="00F60E64">
            <w:pPr>
              <w:pStyle w:val="tabletext"/>
              <w:rPr>
                <w:b/>
                <w:color w:val="FFFFFF"/>
              </w:rPr>
            </w:pPr>
            <w:r w:rsidRPr="00B91316">
              <w:rPr>
                <w:b/>
                <w:color w:val="FFFFFF"/>
              </w:rPr>
              <w:t>Month</w:t>
            </w:r>
          </w:p>
        </w:tc>
        <w:tc>
          <w:tcPr>
            <w:tcW w:w="1974" w:type="dxa"/>
            <w:shd w:val="clear" w:color="auto" w:fill="0D2B88"/>
            <w:vAlign w:val="bottom"/>
          </w:tcPr>
          <w:p w:rsidR="00F60E64" w:rsidRPr="00B91316" w:rsidRDefault="00F60E64" w:rsidP="00F60E64">
            <w:pPr>
              <w:pStyle w:val="tabletext"/>
              <w:rPr>
                <w:b/>
                <w:color w:val="FFFFFF"/>
              </w:rPr>
            </w:pPr>
            <w:r w:rsidRPr="00B91316">
              <w:rPr>
                <w:b/>
                <w:color w:val="FFFFFF"/>
              </w:rPr>
              <w:t>Precipitation (in)</w:t>
            </w:r>
          </w:p>
        </w:tc>
      </w:tr>
      <w:tr w:rsidR="008F1F34" w:rsidRPr="00736082" w:rsidTr="00C075CF">
        <w:trPr>
          <w:cantSplit/>
          <w:trHeight w:val="218"/>
          <w:jc w:val="center"/>
        </w:trPr>
        <w:tc>
          <w:tcPr>
            <w:tcW w:w="2040" w:type="dxa"/>
            <w:tcBorders>
              <w:top w:val="nil"/>
              <w:left w:val="single" w:sz="12" w:space="0" w:color="0D2B88"/>
              <w:bottom w:val="single" w:sz="6" w:space="0" w:color="C0C0C0"/>
              <w:right w:val="nil"/>
              <w:tl2br w:val="nil"/>
              <w:tr2bl w:val="nil"/>
            </w:tcBorders>
            <w:shd w:val="clear" w:color="auto" w:fill="auto"/>
            <w:vAlign w:val="bottom"/>
          </w:tcPr>
          <w:p w:rsidR="008F1F34" w:rsidRPr="00B91316" w:rsidRDefault="008F1F34" w:rsidP="008F1F34">
            <w:pPr>
              <w:pStyle w:val="tabletext"/>
            </w:pPr>
            <w:r w:rsidRPr="00B91316">
              <w:t xml:space="preserve">January </w:t>
            </w:r>
            <w:r w:rsidR="00E73B14">
              <w:t>2019</w:t>
            </w:r>
          </w:p>
        </w:tc>
        <w:tc>
          <w:tcPr>
            <w:tcW w:w="1974" w:type="dxa"/>
            <w:tcBorders>
              <w:top w:val="nil"/>
              <w:left w:val="nil"/>
              <w:bottom w:val="single" w:sz="6" w:space="0" w:color="C0C0C0"/>
              <w:right w:val="single" w:sz="12" w:space="0" w:color="0D2B88"/>
              <w:tl2br w:val="nil"/>
              <w:tr2bl w:val="nil"/>
            </w:tcBorders>
            <w:shd w:val="clear" w:color="auto" w:fill="auto"/>
            <w:vAlign w:val="bottom"/>
          </w:tcPr>
          <w:p w:rsidR="008F1F34" w:rsidRDefault="00E73B14" w:rsidP="008F1F34">
            <w:pPr>
              <w:jc w:val="center"/>
              <w:rPr>
                <w:rFonts w:cs="Arial"/>
                <w:color w:val="000000"/>
                <w:sz w:val="20"/>
                <w:szCs w:val="20"/>
              </w:rPr>
            </w:pPr>
            <w:r>
              <w:rPr>
                <w:rFonts w:cs="Arial"/>
                <w:color w:val="000000"/>
                <w:sz w:val="20"/>
                <w:szCs w:val="20"/>
              </w:rPr>
              <w:t>2.24</w:t>
            </w:r>
          </w:p>
        </w:tc>
      </w:tr>
      <w:tr w:rsidR="008F1F34" w:rsidRPr="00736082" w:rsidTr="00C075CF">
        <w:trPr>
          <w:cantSplit/>
          <w:trHeight w:val="211"/>
          <w:jc w:val="center"/>
        </w:trPr>
        <w:tc>
          <w:tcPr>
            <w:tcW w:w="2040" w:type="dxa"/>
            <w:tcBorders>
              <w:top w:val="nil"/>
              <w:left w:val="single" w:sz="12" w:space="0" w:color="0D2B88"/>
              <w:bottom w:val="single" w:sz="6" w:space="0" w:color="C0C0C0"/>
              <w:right w:val="nil"/>
              <w:tl2br w:val="nil"/>
              <w:tr2bl w:val="nil"/>
            </w:tcBorders>
            <w:shd w:val="clear" w:color="auto" w:fill="auto"/>
            <w:vAlign w:val="bottom"/>
          </w:tcPr>
          <w:p w:rsidR="008F1F34" w:rsidRPr="00B91316" w:rsidRDefault="008F1F34" w:rsidP="008F1F34">
            <w:pPr>
              <w:pStyle w:val="tabletext"/>
            </w:pPr>
            <w:r w:rsidRPr="00B91316">
              <w:t xml:space="preserve">February </w:t>
            </w:r>
            <w:r w:rsidR="00E73B14">
              <w:t>2019</w:t>
            </w:r>
          </w:p>
        </w:tc>
        <w:tc>
          <w:tcPr>
            <w:tcW w:w="1974" w:type="dxa"/>
            <w:tcBorders>
              <w:top w:val="nil"/>
              <w:left w:val="nil"/>
              <w:bottom w:val="single" w:sz="6" w:space="0" w:color="C0C0C0"/>
              <w:right w:val="single" w:sz="12" w:space="0" w:color="0D2B88"/>
              <w:tl2br w:val="nil"/>
              <w:tr2bl w:val="nil"/>
            </w:tcBorders>
            <w:shd w:val="clear" w:color="auto" w:fill="auto"/>
            <w:vAlign w:val="bottom"/>
          </w:tcPr>
          <w:p w:rsidR="008F1F34" w:rsidRDefault="00E73B14" w:rsidP="008F1F34">
            <w:pPr>
              <w:jc w:val="center"/>
              <w:rPr>
                <w:rFonts w:cs="Arial"/>
                <w:color w:val="000000"/>
                <w:sz w:val="20"/>
                <w:szCs w:val="20"/>
              </w:rPr>
            </w:pPr>
            <w:r>
              <w:rPr>
                <w:rFonts w:cs="Arial"/>
                <w:color w:val="000000"/>
                <w:sz w:val="20"/>
                <w:szCs w:val="20"/>
              </w:rPr>
              <w:t>4.02</w:t>
            </w:r>
          </w:p>
        </w:tc>
      </w:tr>
      <w:tr w:rsidR="008F1F34" w:rsidRPr="00736082" w:rsidTr="00C075CF">
        <w:trPr>
          <w:cantSplit/>
          <w:trHeight w:val="218"/>
          <w:jc w:val="center"/>
        </w:trPr>
        <w:tc>
          <w:tcPr>
            <w:tcW w:w="2040" w:type="dxa"/>
            <w:tcBorders>
              <w:top w:val="nil"/>
              <w:left w:val="single" w:sz="12" w:space="0" w:color="0D2B88"/>
              <w:bottom w:val="single" w:sz="6" w:space="0" w:color="C0C0C0"/>
              <w:right w:val="nil"/>
              <w:tl2br w:val="nil"/>
              <w:tr2bl w:val="nil"/>
            </w:tcBorders>
            <w:shd w:val="clear" w:color="auto" w:fill="auto"/>
            <w:vAlign w:val="bottom"/>
          </w:tcPr>
          <w:p w:rsidR="008F1F34" w:rsidRPr="00B91316" w:rsidRDefault="008F1F34" w:rsidP="008F1F34">
            <w:pPr>
              <w:pStyle w:val="tabletext"/>
            </w:pPr>
            <w:r w:rsidRPr="00B91316">
              <w:t xml:space="preserve">March </w:t>
            </w:r>
            <w:r w:rsidR="00E73B14">
              <w:t>2019</w:t>
            </w:r>
          </w:p>
        </w:tc>
        <w:tc>
          <w:tcPr>
            <w:tcW w:w="1974" w:type="dxa"/>
            <w:tcBorders>
              <w:top w:val="nil"/>
              <w:left w:val="nil"/>
              <w:bottom w:val="single" w:sz="6" w:space="0" w:color="C0C0C0"/>
              <w:right w:val="single" w:sz="12" w:space="0" w:color="0D2B88"/>
              <w:tl2br w:val="nil"/>
              <w:tr2bl w:val="nil"/>
            </w:tcBorders>
            <w:shd w:val="clear" w:color="auto" w:fill="auto"/>
            <w:vAlign w:val="bottom"/>
          </w:tcPr>
          <w:p w:rsidR="008F1F34" w:rsidRDefault="00E73B14" w:rsidP="008F1F34">
            <w:pPr>
              <w:jc w:val="center"/>
              <w:rPr>
                <w:rFonts w:cs="Arial"/>
                <w:color w:val="000000"/>
                <w:sz w:val="20"/>
                <w:szCs w:val="20"/>
              </w:rPr>
            </w:pPr>
            <w:r>
              <w:rPr>
                <w:rFonts w:cs="Arial"/>
                <w:color w:val="000000"/>
                <w:sz w:val="20"/>
                <w:szCs w:val="20"/>
              </w:rPr>
              <w:t>2.55</w:t>
            </w:r>
          </w:p>
        </w:tc>
      </w:tr>
      <w:tr w:rsidR="008F1F34" w:rsidRPr="00736082" w:rsidTr="00C075CF">
        <w:trPr>
          <w:cantSplit/>
          <w:trHeight w:val="211"/>
          <w:jc w:val="center"/>
        </w:trPr>
        <w:tc>
          <w:tcPr>
            <w:tcW w:w="2040" w:type="dxa"/>
            <w:tcBorders>
              <w:top w:val="nil"/>
              <w:left w:val="single" w:sz="12" w:space="0" w:color="0D2B88"/>
              <w:bottom w:val="single" w:sz="6" w:space="0" w:color="C0C0C0"/>
              <w:right w:val="nil"/>
              <w:tl2br w:val="nil"/>
              <w:tr2bl w:val="nil"/>
            </w:tcBorders>
            <w:shd w:val="clear" w:color="auto" w:fill="auto"/>
            <w:vAlign w:val="bottom"/>
          </w:tcPr>
          <w:p w:rsidR="008F1F34" w:rsidRPr="00B91316" w:rsidRDefault="008F1F34" w:rsidP="008F1F34">
            <w:pPr>
              <w:pStyle w:val="tabletext"/>
            </w:pPr>
            <w:r w:rsidRPr="00B91316">
              <w:t xml:space="preserve">April </w:t>
            </w:r>
            <w:r w:rsidR="00E73B14">
              <w:t>2019</w:t>
            </w:r>
          </w:p>
        </w:tc>
        <w:tc>
          <w:tcPr>
            <w:tcW w:w="1974" w:type="dxa"/>
            <w:tcBorders>
              <w:top w:val="nil"/>
              <w:left w:val="nil"/>
              <w:bottom w:val="single" w:sz="6" w:space="0" w:color="C0C0C0"/>
              <w:right w:val="single" w:sz="12" w:space="0" w:color="0D2B88"/>
              <w:tl2br w:val="nil"/>
              <w:tr2bl w:val="nil"/>
            </w:tcBorders>
            <w:shd w:val="clear" w:color="auto" w:fill="auto"/>
            <w:vAlign w:val="bottom"/>
          </w:tcPr>
          <w:p w:rsidR="008F1F34" w:rsidRDefault="00E73B14" w:rsidP="008F1F34">
            <w:pPr>
              <w:jc w:val="center"/>
              <w:rPr>
                <w:rFonts w:cs="Arial"/>
                <w:color w:val="000000"/>
                <w:sz w:val="20"/>
                <w:szCs w:val="20"/>
              </w:rPr>
            </w:pPr>
            <w:r>
              <w:rPr>
                <w:rFonts w:cs="Arial"/>
                <w:color w:val="000000"/>
                <w:sz w:val="20"/>
                <w:szCs w:val="20"/>
              </w:rPr>
              <w:t>0.25</w:t>
            </w:r>
          </w:p>
        </w:tc>
      </w:tr>
      <w:tr w:rsidR="008F1F34" w:rsidRPr="00736082" w:rsidTr="00C075CF">
        <w:trPr>
          <w:cantSplit/>
          <w:trHeight w:val="218"/>
          <w:jc w:val="center"/>
        </w:trPr>
        <w:tc>
          <w:tcPr>
            <w:tcW w:w="2040" w:type="dxa"/>
            <w:tcBorders>
              <w:top w:val="nil"/>
              <w:left w:val="single" w:sz="12" w:space="0" w:color="0D2B88"/>
              <w:bottom w:val="single" w:sz="6" w:space="0" w:color="C0C0C0"/>
              <w:right w:val="nil"/>
              <w:tl2br w:val="nil"/>
              <w:tr2bl w:val="nil"/>
            </w:tcBorders>
            <w:shd w:val="clear" w:color="auto" w:fill="auto"/>
            <w:vAlign w:val="bottom"/>
          </w:tcPr>
          <w:p w:rsidR="008F1F34" w:rsidRPr="00B91316" w:rsidRDefault="008F1F34" w:rsidP="008F1F34">
            <w:pPr>
              <w:pStyle w:val="tabletext"/>
            </w:pPr>
            <w:r w:rsidRPr="00B91316">
              <w:t xml:space="preserve">May </w:t>
            </w:r>
            <w:r w:rsidR="00E73B14">
              <w:t>2019</w:t>
            </w:r>
          </w:p>
        </w:tc>
        <w:tc>
          <w:tcPr>
            <w:tcW w:w="1974" w:type="dxa"/>
            <w:tcBorders>
              <w:top w:val="nil"/>
              <w:left w:val="nil"/>
              <w:bottom w:val="single" w:sz="6" w:space="0" w:color="C0C0C0"/>
              <w:right w:val="single" w:sz="12" w:space="0" w:color="0D2B88"/>
              <w:tl2br w:val="nil"/>
              <w:tr2bl w:val="nil"/>
            </w:tcBorders>
            <w:shd w:val="clear" w:color="auto" w:fill="auto"/>
            <w:vAlign w:val="bottom"/>
          </w:tcPr>
          <w:p w:rsidR="008F1F34" w:rsidRDefault="00E73B14" w:rsidP="008F1F34">
            <w:pPr>
              <w:jc w:val="center"/>
              <w:rPr>
                <w:rFonts w:cs="Arial"/>
                <w:color w:val="000000"/>
                <w:sz w:val="20"/>
                <w:szCs w:val="20"/>
              </w:rPr>
            </w:pPr>
            <w:r>
              <w:rPr>
                <w:rFonts w:cs="Arial"/>
                <w:color w:val="000000"/>
                <w:sz w:val="20"/>
                <w:szCs w:val="20"/>
              </w:rPr>
              <w:t>1.95</w:t>
            </w:r>
          </w:p>
        </w:tc>
      </w:tr>
      <w:tr w:rsidR="008F1F34" w:rsidRPr="00736082" w:rsidTr="00C075CF">
        <w:trPr>
          <w:cantSplit/>
          <w:trHeight w:val="211"/>
          <w:jc w:val="center"/>
        </w:trPr>
        <w:tc>
          <w:tcPr>
            <w:tcW w:w="2040" w:type="dxa"/>
            <w:tcBorders>
              <w:top w:val="nil"/>
              <w:left w:val="single" w:sz="12" w:space="0" w:color="0D2B88"/>
              <w:bottom w:val="single" w:sz="6" w:space="0" w:color="C0C0C0"/>
              <w:right w:val="nil"/>
              <w:tl2br w:val="nil"/>
              <w:tr2bl w:val="nil"/>
            </w:tcBorders>
            <w:shd w:val="clear" w:color="auto" w:fill="auto"/>
            <w:vAlign w:val="bottom"/>
          </w:tcPr>
          <w:p w:rsidR="008F1F34" w:rsidRPr="00B91316" w:rsidRDefault="008F1F34" w:rsidP="008F1F34">
            <w:pPr>
              <w:pStyle w:val="tabletext"/>
            </w:pPr>
            <w:r w:rsidRPr="00B91316">
              <w:t xml:space="preserve">June </w:t>
            </w:r>
            <w:r w:rsidR="00E73B14">
              <w:t>2019</w:t>
            </w:r>
          </w:p>
        </w:tc>
        <w:tc>
          <w:tcPr>
            <w:tcW w:w="1974" w:type="dxa"/>
            <w:tcBorders>
              <w:top w:val="nil"/>
              <w:left w:val="nil"/>
              <w:bottom w:val="single" w:sz="6" w:space="0" w:color="C0C0C0"/>
              <w:right w:val="single" w:sz="12" w:space="0" w:color="0D2B88"/>
              <w:tl2br w:val="nil"/>
              <w:tr2bl w:val="nil"/>
            </w:tcBorders>
            <w:shd w:val="clear" w:color="auto" w:fill="auto"/>
            <w:vAlign w:val="bottom"/>
          </w:tcPr>
          <w:p w:rsidR="008F1F34" w:rsidRDefault="00E73B14" w:rsidP="008F1F34">
            <w:pPr>
              <w:jc w:val="center"/>
              <w:rPr>
                <w:rFonts w:cs="Arial"/>
                <w:color w:val="000000"/>
                <w:sz w:val="20"/>
                <w:szCs w:val="20"/>
              </w:rPr>
            </w:pPr>
            <w:r>
              <w:rPr>
                <w:rFonts w:cs="Arial"/>
                <w:color w:val="000000"/>
                <w:sz w:val="20"/>
                <w:szCs w:val="20"/>
              </w:rPr>
              <w:t>0.20</w:t>
            </w:r>
          </w:p>
        </w:tc>
      </w:tr>
      <w:tr w:rsidR="008F1F34" w:rsidRPr="00736082" w:rsidTr="00C075CF">
        <w:trPr>
          <w:cantSplit/>
          <w:trHeight w:val="218"/>
          <w:jc w:val="center"/>
        </w:trPr>
        <w:tc>
          <w:tcPr>
            <w:tcW w:w="2040" w:type="dxa"/>
            <w:tcBorders>
              <w:top w:val="nil"/>
              <w:left w:val="single" w:sz="12" w:space="0" w:color="0D2B88"/>
              <w:bottom w:val="single" w:sz="6" w:space="0" w:color="C0C0C0"/>
              <w:right w:val="nil"/>
              <w:tl2br w:val="nil"/>
              <w:tr2bl w:val="nil"/>
            </w:tcBorders>
            <w:shd w:val="clear" w:color="auto" w:fill="auto"/>
            <w:vAlign w:val="bottom"/>
          </w:tcPr>
          <w:p w:rsidR="008F1F34" w:rsidRPr="00B91316" w:rsidRDefault="008F1F34" w:rsidP="008F1F34">
            <w:pPr>
              <w:pStyle w:val="tabletext"/>
            </w:pPr>
            <w:r w:rsidRPr="00B91316">
              <w:t xml:space="preserve">July </w:t>
            </w:r>
            <w:r w:rsidR="00553FC2">
              <w:t>2</w:t>
            </w:r>
            <w:r w:rsidR="00E73B14">
              <w:t>019</w:t>
            </w:r>
          </w:p>
        </w:tc>
        <w:tc>
          <w:tcPr>
            <w:tcW w:w="1974" w:type="dxa"/>
            <w:tcBorders>
              <w:top w:val="nil"/>
              <w:left w:val="nil"/>
              <w:bottom w:val="single" w:sz="6" w:space="0" w:color="C0C0C0"/>
              <w:right w:val="single" w:sz="12" w:space="0" w:color="0D2B88"/>
              <w:tl2br w:val="nil"/>
              <w:tr2bl w:val="nil"/>
            </w:tcBorders>
            <w:shd w:val="clear" w:color="auto" w:fill="auto"/>
            <w:vAlign w:val="bottom"/>
          </w:tcPr>
          <w:p w:rsidR="008F1F34" w:rsidRDefault="008F1F34" w:rsidP="008F1F34">
            <w:pPr>
              <w:jc w:val="center"/>
              <w:rPr>
                <w:rFonts w:cs="Arial"/>
                <w:color w:val="000000"/>
                <w:sz w:val="20"/>
                <w:szCs w:val="20"/>
              </w:rPr>
            </w:pPr>
            <w:r>
              <w:rPr>
                <w:rFonts w:cs="Arial"/>
                <w:color w:val="000000"/>
                <w:sz w:val="20"/>
                <w:szCs w:val="20"/>
              </w:rPr>
              <w:t>0.00</w:t>
            </w:r>
          </w:p>
        </w:tc>
      </w:tr>
      <w:tr w:rsidR="008F1F34" w:rsidRPr="00736082" w:rsidTr="00C075CF">
        <w:trPr>
          <w:cantSplit/>
          <w:trHeight w:val="211"/>
          <w:jc w:val="center"/>
        </w:trPr>
        <w:tc>
          <w:tcPr>
            <w:tcW w:w="2040" w:type="dxa"/>
            <w:tcBorders>
              <w:top w:val="nil"/>
              <w:left w:val="single" w:sz="12" w:space="0" w:color="0D2B88"/>
              <w:bottom w:val="single" w:sz="6" w:space="0" w:color="C0C0C0"/>
              <w:right w:val="nil"/>
              <w:tl2br w:val="nil"/>
              <w:tr2bl w:val="nil"/>
            </w:tcBorders>
            <w:shd w:val="clear" w:color="auto" w:fill="auto"/>
            <w:vAlign w:val="bottom"/>
          </w:tcPr>
          <w:p w:rsidR="008F1F34" w:rsidRPr="00B91316" w:rsidRDefault="008F1F34" w:rsidP="008F1F34">
            <w:pPr>
              <w:pStyle w:val="tabletext"/>
            </w:pPr>
            <w:r w:rsidRPr="00B91316">
              <w:t xml:space="preserve">August </w:t>
            </w:r>
            <w:r w:rsidR="00E73B14">
              <w:t>2019</w:t>
            </w:r>
          </w:p>
        </w:tc>
        <w:tc>
          <w:tcPr>
            <w:tcW w:w="1974" w:type="dxa"/>
            <w:tcBorders>
              <w:top w:val="nil"/>
              <w:left w:val="nil"/>
              <w:bottom w:val="single" w:sz="6" w:space="0" w:color="C0C0C0"/>
              <w:right w:val="single" w:sz="12" w:space="0" w:color="0D2B88"/>
              <w:tl2br w:val="nil"/>
              <w:tr2bl w:val="nil"/>
            </w:tcBorders>
            <w:shd w:val="clear" w:color="auto" w:fill="auto"/>
            <w:vAlign w:val="bottom"/>
          </w:tcPr>
          <w:p w:rsidR="008F1F34" w:rsidRDefault="00E73B14" w:rsidP="008F1F34">
            <w:pPr>
              <w:jc w:val="center"/>
              <w:rPr>
                <w:rFonts w:cs="Arial"/>
                <w:color w:val="000000"/>
                <w:sz w:val="20"/>
                <w:szCs w:val="20"/>
              </w:rPr>
            </w:pPr>
            <w:r>
              <w:rPr>
                <w:rFonts w:cs="Arial"/>
                <w:color w:val="000000"/>
                <w:sz w:val="20"/>
                <w:szCs w:val="20"/>
              </w:rPr>
              <w:t>0.00</w:t>
            </w:r>
          </w:p>
        </w:tc>
      </w:tr>
      <w:tr w:rsidR="008F1F34" w:rsidRPr="00736082" w:rsidTr="00C075CF">
        <w:trPr>
          <w:cantSplit/>
          <w:trHeight w:val="218"/>
          <w:jc w:val="center"/>
        </w:trPr>
        <w:tc>
          <w:tcPr>
            <w:tcW w:w="2040" w:type="dxa"/>
            <w:tcBorders>
              <w:top w:val="nil"/>
              <w:left w:val="single" w:sz="12" w:space="0" w:color="0D2B88"/>
              <w:bottom w:val="single" w:sz="6" w:space="0" w:color="C0C0C0"/>
              <w:right w:val="nil"/>
              <w:tl2br w:val="nil"/>
              <w:tr2bl w:val="nil"/>
            </w:tcBorders>
            <w:shd w:val="clear" w:color="auto" w:fill="auto"/>
            <w:vAlign w:val="bottom"/>
          </w:tcPr>
          <w:p w:rsidR="008F1F34" w:rsidRPr="00B91316" w:rsidRDefault="008F1F34" w:rsidP="008F1F34">
            <w:pPr>
              <w:pStyle w:val="tabletext"/>
            </w:pPr>
            <w:r w:rsidRPr="00B91316">
              <w:t xml:space="preserve">September </w:t>
            </w:r>
            <w:r w:rsidR="00E73B14">
              <w:t>2019</w:t>
            </w:r>
          </w:p>
        </w:tc>
        <w:tc>
          <w:tcPr>
            <w:tcW w:w="1974" w:type="dxa"/>
            <w:tcBorders>
              <w:top w:val="nil"/>
              <w:left w:val="nil"/>
              <w:bottom w:val="single" w:sz="6" w:space="0" w:color="C0C0C0"/>
              <w:right w:val="single" w:sz="12" w:space="0" w:color="0D2B88"/>
              <w:tl2br w:val="nil"/>
              <w:tr2bl w:val="nil"/>
            </w:tcBorders>
            <w:shd w:val="clear" w:color="auto" w:fill="auto"/>
            <w:vAlign w:val="bottom"/>
          </w:tcPr>
          <w:p w:rsidR="008F1F34" w:rsidRDefault="00FA1399" w:rsidP="008F1F34">
            <w:pPr>
              <w:jc w:val="center"/>
              <w:rPr>
                <w:rFonts w:cs="Arial"/>
                <w:color w:val="000000"/>
                <w:sz w:val="20"/>
                <w:szCs w:val="20"/>
              </w:rPr>
            </w:pPr>
            <w:r>
              <w:rPr>
                <w:rFonts w:cs="Arial"/>
                <w:color w:val="000000"/>
                <w:sz w:val="20"/>
                <w:szCs w:val="20"/>
              </w:rPr>
              <w:t>0.00</w:t>
            </w:r>
          </w:p>
        </w:tc>
      </w:tr>
      <w:tr w:rsidR="008F1F34" w:rsidRPr="00736082" w:rsidTr="00C075CF">
        <w:trPr>
          <w:cantSplit/>
          <w:trHeight w:val="211"/>
          <w:jc w:val="center"/>
        </w:trPr>
        <w:tc>
          <w:tcPr>
            <w:tcW w:w="2040" w:type="dxa"/>
            <w:tcBorders>
              <w:top w:val="nil"/>
              <w:left w:val="single" w:sz="12" w:space="0" w:color="0D2B88"/>
              <w:bottom w:val="single" w:sz="6" w:space="0" w:color="C0C0C0"/>
              <w:right w:val="nil"/>
              <w:tl2br w:val="nil"/>
              <w:tr2bl w:val="nil"/>
            </w:tcBorders>
            <w:shd w:val="clear" w:color="auto" w:fill="auto"/>
            <w:vAlign w:val="bottom"/>
          </w:tcPr>
          <w:p w:rsidR="008F1F34" w:rsidRPr="00B91316" w:rsidRDefault="008F1F34" w:rsidP="008F1F34">
            <w:pPr>
              <w:pStyle w:val="tabletext"/>
            </w:pPr>
            <w:r w:rsidRPr="00B91316">
              <w:t xml:space="preserve">October </w:t>
            </w:r>
            <w:r w:rsidR="00E73B14">
              <w:t>2019</w:t>
            </w:r>
          </w:p>
        </w:tc>
        <w:tc>
          <w:tcPr>
            <w:tcW w:w="1974" w:type="dxa"/>
            <w:tcBorders>
              <w:top w:val="nil"/>
              <w:left w:val="nil"/>
              <w:bottom w:val="single" w:sz="6" w:space="0" w:color="C0C0C0"/>
              <w:right w:val="single" w:sz="12" w:space="0" w:color="0D2B88"/>
              <w:tl2br w:val="nil"/>
              <w:tr2bl w:val="nil"/>
            </w:tcBorders>
            <w:shd w:val="clear" w:color="auto" w:fill="auto"/>
            <w:vAlign w:val="bottom"/>
          </w:tcPr>
          <w:p w:rsidR="008F1F34" w:rsidRDefault="00E73B14" w:rsidP="008F1F34">
            <w:pPr>
              <w:jc w:val="center"/>
              <w:rPr>
                <w:rFonts w:cs="Arial"/>
                <w:color w:val="000000"/>
                <w:sz w:val="20"/>
                <w:szCs w:val="20"/>
              </w:rPr>
            </w:pPr>
            <w:r>
              <w:rPr>
                <w:rFonts w:cs="Arial"/>
                <w:color w:val="000000"/>
                <w:sz w:val="20"/>
                <w:szCs w:val="20"/>
              </w:rPr>
              <w:t>0.00</w:t>
            </w:r>
          </w:p>
        </w:tc>
      </w:tr>
      <w:tr w:rsidR="008F1F34" w:rsidRPr="00736082" w:rsidTr="00C075CF">
        <w:trPr>
          <w:cantSplit/>
          <w:trHeight w:val="218"/>
          <w:jc w:val="center"/>
        </w:trPr>
        <w:tc>
          <w:tcPr>
            <w:tcW w:w="2040" w:type="dxa"/>
            <w:tcBorders>
              <w:top w:val="nil"/>
              <w:left w:val="single" w:sz="12" w:space="0" w:color="0D2B88"/>
              <w:bottom w:val="single" w:sz="6" w:space="0" w:color="C0C0C0"/>
              <w:right w:val="nil"/>
              <w:tl2br w:val="nil"/>
              <w:tr2bl w:val="nil"/>
            </w:tcBorders>
            <w:shd w:val="clear" w:color="auto" w:fill="auto"/>
            <w:vAlign w:val="bottom"/>
          </w:tcPr>
          <w:p w:rsidR="008F1F34" w:rsidRPr="00B91316" w:rsidRDefault="008F1F34" w:rsidP="008F1F34">
            <w:pPr>
              <w:pStyle w:val="tabletext"/>
            </w:pPr>
            <w:r w:rsidRPr="00B91316">
              <w:t xml:space="preserve">November </w:t>
            </w:r>
            <w:r w:rsidR="00E73B14">
              <w:t>2019</w:t>
            </w:r>
          </w:p>
        </w:tc>
        <w:tc>
          <w:tcPr>
            <w:tcW w:w="1974" w:type="dxa"/>
            <w:tcBorders>
              <w:top w:val="nil"/>
              <w:left w:val="nil"/>
              <w:bottom w:val="single" w:sz="6" w:space="0" w:color="C0C0C0"/>
              <w:right w:val="single" w:sz="12" w:space="0" w:color="0D2B88"/>
              <w:tl2br w:val="nil"/>
              <w:tr2bl w:val="nil"/>
            </w:tcBorders>
            <w:shd w:val="clear" w:color="auto" w:fill="auto"/>
            <w:vAlign w:val="bottom"/>
          </w:tcPr>
          <w:p w:rsidR="008F1F34" w:rsidRDefault="00E73B14" w:rsidP="008F1F34">
            <w:pPr>
              <w:jc w:val="center"/>
              <w:rPr>
                <w:rFonts w:cs="Arial"/>
                <w:color w:val="000000"/>
                <w:sz w:val="20"/>
                <w:szCs w:val="20"/>
              </w:rPr>
            </w:pPr>
            <w:r>
              <w:rPr>
                <w:rFonts w:cs="Arial"/>
                <w:color w:val="000000"/>
                <w:sz w:val="20"/>
                <w:szCs w:val="20"/>
              </w:rPr>
              <w:t>1.40</w:t>
            </w:r>
          </w:p>
        </w:tc>
      </w:tr>
      <w:tr w:rsidR="008F1F34" w:rsidRPr="00736082" w:rsidTr="00C075CF">
        <w:trPr>
          <w:cantSplit/>
          <w:trHeight w:val="211"/>
          <w:jc w:val="center"/>
        </w:trPr>
        <w:tc>
          <w:tcPr>
            <w:tcW w:w="2040" w:type="dxa"/>
            <w:tcBorders>
              <w:top w:val="nil"/>
              <w:left w:val="single" w:sz="12" w:space="0" w:color="0D2B88"/>
              <w:bottom w:val="single" w:sz="6" w:space="0" w:color="C0C0C0"/>
              <w:right w:val="nil"/>
              <w:tl2br w:val="nil"/>
              <w:tr2bl w:val="nil"/>
            </w:tcBorders>
            <w:shd w:val="clear" w:color="auto" w:fill="auto"/>
            <w:vAlign w:val="bottom"/>
          </w:tcPr>
          <w:p w:rsidR="008F1F34" w:rsidRPr="00B91316" w:rsidRDefault="008F1F34" w:rsidP="008F1F34">
            <w:pPr>
              <w:pStyle w:val="tabletext"/>
            </w:pPr>
            <w:r w:rsidRPr="00B91316">
              <w:t xml:space="preserve">December </w:t>
            </w:r>
            <w:r w:rsidR="00E73B14">
              <w:t>2019</w:t>
            </w:r>
          </w:p>
        </w:tc>
        <w:tc>
          <w:tcPr>
            <w:tcW w:w="1974" w:type="dxa"/>
            <w:tcBorders>
              <w:top w:val="nil"/>
              <w:left w:val="nil"/>
              <w:bottom w:val="single" w:sz="6" w:space="0" w:color="C0C0C0"/>
              <w:right w:val="single" w:sz="12" w:space="0" w:color="0D2B88"/>
              <w:tl2br w:val="nil"/>
              <w:tr2bl w:val="nil"/>
            </w:tcBorders>
            <w:shd w:val="clear" w:color="auto" w:fill="auto"/>
            <w:vAlign w:val="bottom"/>
          </w:tcPr>
          <w:p w:rsidR="008F1F34" w:rsidRDefault="00E73B14" w:rsidP="008F1F34">
            <w:pPr>
              <w:jc w:val="center"/>
              <w:rPr>
                <w:rFonts w:cs="Arial"/>
                <w:color w:val="000000"/>
                <w:sz w:val="20"/>
                <w:szCs w:val="20"/>
              </w:rPr>
            </w:pPr>
            <w:r>
              <w:rPr>
                <w:rFonts w:cs="Arial"/>
                <w:color w:val="000000"/>
                <w:sz w:val="20"/>
                <w:szCs w:val="20"/>
              </w:rPr>
              <w:t>3.69</w:t>
            </w:r>
          </w:p>
        </w:tc>
      </w:tr>
      <w:tr w:rsidR="008F1F34" w:rsidTr="00C075CF">
        <w:trPr>
          <w:cantSplit/>
          <w:trHeight w:val="218"/>
          <w:jc w:val="center"/>
        </w:trPr>
        <w:tc>
          <w:tcPr>
            <w:tcW w:w="2040" w:type="dxa"/>
            <w:tcBorders>
              <w:top w:val="nil"/>
              <w:left w:val="single" w:sz="12" w:space="0" w:color="0D2B88"/>
              <w:bottom w:val="single" w:sz="12" w:space="0" w:color="0D2B88"/>
              <w:right w:val="nil"/>
              <w:tl2br w:val="nil"/>
              <w:tr2bl w:val="nil"/>
            </w:tcBorders>
            <w:shd w:val="clear" w:color="auto" w:fill="auto"/>
            <w:vAlign w:val="bottom"/>
          </w:tcPr>
          <w:p w:rsidR="008F1F34" w:rsidRPr="00B91316" w:rsidRDefault="008F1F34" w:rsidP="008F1F34">
            <w:pPr>
              <w:pStyle w:val="tabletext"/>
              <w:rPr>
                <w:b/>
                <w:bCs/>
              </w:rPr>
            </w:pPr>
            <w:r w:rsidRPr="00B91316">
              <w:rPr>
                <w:b/>
                <w:bCs/>
              </w:rPr>
              <w:t>Total</w:t>
            </w:r>
          </w:p>
        </w:tc>
        <w:tc>
          <w:tcPr>
            <w:tcW w:w="1974" w:type="dxa"/>
            <w:tcBorders>
              <w:top w:val="nil"/>
              <w:left w:val="nil"/>
              <w:bottom w:val="single" w:sz="12" w:space="0" w:color="0D2B88"/>
              <w:right w:val="single" w:sz="12" w:space="0" w:color="0D2B88"/>
              <w:tl2br w:val="nil"/>
              <w:tr2bl w:val="nil"/>
            </w:tcBorders>
            <w:shd w:val="clear" w:color="auto" w:fill="auto"/>
            <w:vAlign w:val="bottom"/>
          </w:tcPr>
          <w:p w:rsidR="008F1F34" w:rsidRPr="008F1F34" w:rsidRDefault="00FA1399" w:rsidP="00E73B14">
            <w:pPr>
              <w:jc w:val="center"/>
              <w:rPr>
                <w:rFonts w:cs="Arial"/>
                <w:b/>
                <w:color w:val="000000"/>
                <w:sz w:val="20"/>
                <w:szCs w:val="20"/>
              </w:rPr>
            </w:pPr>
            <w:r>
              <w:rPr>
                <w:rFonts w:cs="Arial"/>
                <w:b/>
                <w:color w:val="000000"/>
                <w:sz w:val="20"/>
                <w:szCs w:val="20"/>
              </w:rPr>
              <w:t>16.</w:t>
            </w:r>
            <w:r w:rsidR="00E73B14">
              <w:rPr>
                <w:rFonts w:cs="Arial"/>
                <w:b/>
                <w:color w:val="000000"/>
                <w:sz w:val="20"/>
                <w:szCs w:val="20"/>
              </w:rPr>
              <w:t>30</w:t>
            </w:r>
          </w:p>
        </w:tc>
      </w:tr>
    </w:tbl>
    <w:p w:rsidR="00107DD2" w:rsidRPr="00297B5E" w:rsidRDefault="00107DD2" w:rsidP="00107DD2">
      <w:pPr>
        <w:pStyle w:val="Heading2"/>
      </w:pPr>
      <w:bookmarkStart w:id="12" w:name="_Toc125348629"/>
      <w:r w:rsidRPr="00297B5E">
        <w:t>Percolation</w:t>
      </w:r>
      <w:bookmarkEnd w:id="12"/>
    </w:p>
    <w:p w:rsidR="00107DD2" w:rsidRDefault="001660ED" w:rsidP="00107DD2">
      <w:pPr>
        <w:pStyle w:val="BodyText"/>
      </w:pPr>
      <w:r w:rsidRPr="00297B5E">
        <w:t>The primary means of wastewater disposal for the Ridgemark facilities is through percolation of the tre</w:t>
      </w:r>
      <w:r w:rsidR="00FD6D71" w:rsidRPr="00297B5E">
        <w:t xml:space="preserve">ated wastewater </w:t>
      </w:r>
      <w:r w:rsidRPr="00297B5E">
        <w:t>via disposal ponds.</w:t>
      </w:r>
      <w:r w:rsidR="00B1799B" w:rsidRPr="00297B5E">
        <w:t xml:space="preserve">  The </w:t>
      </w:r>
      <w:r w:rsidR="00E73B14">
        <w:t>Ridgemark WWTP</w:t>
      </w:r>
      <w:r w:rsidR="00B1799B" w:rsidRPr="00297B5E">
        <w:t xml:space="preserve"> facility has 4 disposal ponds while the RM II facility has 2 disposal ponds.  </w:t>
      </w:r>
      <w:r w:rsidR="006058D1">
        <w:t xml:space="preserve">The </w:t>
      </w:r>
      <w:r w:rsidR="00E73B14">
        <w:t>Ridgemark WWTP disposal</w:t>
      </w:r>
      <w:r w:rsidR="006058D1">
        <w:t xml:space="preserve"> ponds are operated on a rotation schedule in which only one pond is used at a time to allow for ripping and other maintenance to be done on the others. </w:t>
      </w:r>
      <w:r w:rsidR="00DC5C02" w:rsidRPr="00297B5E">
        <w:t xml:space="preserve">During </w:t>
      </w:r>
      <w:r w:rsidR="00E73B14">
        <w:t>2019, only Percolation Pond 4 was</w:t>
      </w:r>
      <w:r w:rsidR="00314F75">
        <w:t xml:space="preserve"> used</w:t>
      </w:r>
      <w:r w:rsidR="0095412B" w:rsidRPr="00297B5E">
        <w:t xml:space="preserve"> for the di</w:t>
      </w:r>
      <w:r w:rsidR="00C82C8E" w:rsidRPr="00297B5E">
        <w:t xml:space="preserve">sposal </w:t>
      </w:r>
      <w:r w:rsidR="000D40AE">
        <w:t xml:space="preserve">of </w:t>
      </w:r>
      <w:r w:rsidR="00D25E6E">
        <w:t>168.67</w:t>
      </w:r>
      <w:r w:rsidR="00DC5C02" w:rsidRPr="00D25E6E">
        <w:t xml:space="preserve"> </w:t>
      </w:r>
      <w:r w:rsidR="00DC5C02" w:rsidRPr="00297B5E">
        <w:t xml:space="preserve">acre-feet of treated wastewater, </w:t>
      </w:r>
      <w:r w:rsidR="00E73B14">
        <w:t>while Percolation Ponds 3, 5, and</w:t>
      </w:r>
      <w:r w:rsidR="006058D1">
        <w:t xml:space="preserve"> 6</w:t>
      </w:r>
      <w:r w:rsidR="002C2477">
        <w:t xml:space="preserve"> were not used.</w:t>
      </w:r>
      <w:r w:rsidR="006058D1">
        <w:t xml:space="preserve"> </w:t>
      </w:r>
      <w:r w:rsidR="002C2477">
        <w:t>RM II Percolation Ponds 3 and 4 have not been used since the consolidation of RM I and RM II at the Ridgemark WWTP</w:t>
      </w:r>
      <w:r w:rsidR="0073106E" w:rsidRPr="00297B5E">
        <w:t>.</w:t>
      </w:r>
      <w:r w:rsidR="00152E47" w:rsidRPr="00297B5E">
        <w:t xml:space="preserve"> </w:t>
      </w:r>
      <w:r w:rsidR="00B1799B" w:rsidRPr="00297B5E">
        <w:t xml:space="preserve">The size of </w:t>
      </w:r>
      <w:r w:rsidR="002C2477">
        <w:t>each pond</w:t>
      </w:r>
      <w:r w:rsidR="00B1799B" w:rsidRPr="00297B5E">
        <w:t xml:space="preserve"> </w:t>
      </w:r>
      <w:r w:rsidR="00DD0FA5" w:rsidRPr="00297B5E">
        <w:t>is</w:t>
      </w:r>
      <w:r w:rsidR="00FD6D71" w:rsidRPr="00297B5E">
        <w:t xml:space="preserve"> summarized</w:t>
      </w:r>
      <w:r w:rsidR="00B1799B" w:rsidRPr="00297B5E">
        <w:t xml:space="preserve"> in </w:t>
      </w:r>
      <w:r w:rsidR="00314F75">
        <w:t>3-3</w:t>
      </w:r>
      <w:r w:rsidR="00B1799B" w:rsidRPr="00297B5E">
        <w:t>.</w:t>
      </w:r>
      <w:r w:rsidR="006C47FB">
        <w:t xml:space="preserve"> </w:t>
      </w:r>
    </w:p>
    <w:p w:rsidR="00B1799B" w:rsidRDefault="00B1799B" w:rsidP="00B1799B">
      <w:pPr>
        <w:pStyle w:val="Caption"/>
        <w:keepNext/>
      </w:pPr>
      <w:bookmarkStart w:id="13" w:name="_Ref117922920"/>
      <w:r>
        <w:t xml:space="preserve">Table </w:t>
      </w:r>
      <w:r w:rsidR="00C04A85">
        <w:rPr>
          <w:noProof/>
        </w:rPr>
        <w:fldChar w:fldCharType="begin"/>
      </w:r>
      <w:r w:rsidR="00C04A85">
        <w:rPr>
          <w:noProof/>
        </w:rPr>
        <w:instrText xml:space="preserve"> STYLEREF 1 \s </w:instrText>
      </w:r>
      <w:r w:rsidR="00C04A85">
        <w:rPr>
          <w:noProof/>
        </w:rPr>
        <w:fldChar w:fldCharType="separate"/>
      </w:r>
      <w:r w:rsidR="0009663A">
        <w:rPr>
          <w:noProof/>
        </w:rPr>
        <w:t>3</w:t>
      </w:r>
      <w:r w:rsidR="00C04A85">
        <w:rPr>
          <w:noProof/>
        </w:rPr>
        <w:fldChar w:fldCharType="end"/>
      </w:r>
      <w:r w:rsidR="00FF01CC">
        <w:noBreakHyphen/>
      </w:r>
      <w:bookmarkEnd w:id="13"/>
      <w:r w:rsidR="003B147B">
        <w:t>3</w:t>
      </w:r>
      <w:r>
        <w:t>: R</w:t>
      </w:r>
      <w:r w:rsidR="00DA1886">
        <w:t>idgemark</w:t>
      </w:r>
      <w:r>
        <w:t xml:space="preserve"> Disposal Pond </w:t>
      </w:r>
      <w:r w:rsidR="00C04A85">
        <w:t xml:space="preserve">Maximum </w:t>
      </w:r>
      <w:r w:rsidR="00281160">
        <w:t xml:space="preserve">Surface </w:t>
      </w:r>
      <w:r w:rsidR="00DA1886">
        <w:t>Area</w:t>
      </w:r>
    </w:p>
    <w:tbl>
      <w:tblPr>
        <w:tblW w:w="0" w:type="auto"/>
        <w:jc w:val="center"/>
        <w:tblBorders>
          <w:top w:val="single" w:sz="12" w:space="0" w:color="0D2B88"/>
          <w:left w:val="single" w:sz="12" w:space="0" w:color="0D2B88"/>
          <w:bottom w:val="single" w:sz="12" w:space="0" w:color="0D2B88"/>
          <w:right w:val="single" w:sz="12" w:space="0" w:color="0D2B88"/>
        </w:tblBorders>
        <w:tblLook w:val="01E0" w:firstRow="1" w:lastRow="1" w:firstColumn="1" w:lastColumn="1" w:noHBand="0" w:noVBand="0"/>
      </w:tblPr>
      <w:tblGrid>
        <w:gridCol w:w="3267"/>
        <w:gridCol w:w="230"/>
        <w:gridCol w:w="2110"/>
        <w:gridCol w:w="32"/>
      </w:tblGrid>
      <w:tr w:rsidR="00B1799B" w:rsidTr="00C075CF">
        <w:trPr>
          <w:gridAfter w:val="1"/>
          <w:wAfter w:w="32" w:type="dxa"/>
          <w:cantSplit/>
          <w:jc w:val="center"/>
        </w:trPr>
        <w:tc>
          <w:tcPr>
            <w:tcW w:w="3497" w:type="dxa"/>
            <w:gridSpan w:val="2"/>
            <w:shd w:val="clear" w:color="auto" w:fill="0D2B88"/>
            <w:vAlign w:val="bottom"/>
          </w:tcPr>
          <w:p w:rsidR="00B1799B" w:rsidRPr="00F60F60" w:rsidRDefault="00B1799B" w:rsidP="00B1799B">
            <w:pPr>
              <w:pStyle w:val="tabletext"/>
              <w:rPr>
                <w:b/>
                <w:color w:val="FFFFFF"/>
              </w:rPr>
            </w:pPr>
            <w:r w:rsidRPr="00F60F60">
              <w:rPr>
                <w:b/>
                <w:color w:val="FFFFFF"/>
              </w:rPr>
              <w:t>Pond</w:t>
            </w:r>
          </w:p>
        </w:tc>
        <w:tc>
          <w:tcPr>
            <w:tcW w:w="2110" w:type="dxa"/>
            <w:shd w:val="clear" w:color="auto" w:fill="0D2B88"/>
            <w:vAlign w:val="bottom"/>
          </w:tcPr>
          <w:p w:rsidR="00B1799B" w:rsidRPr="00F60F60" w:rsidRDefault="00DA1886" w:rsidP="00B1799B">
            <w:pPr>
              <w:pStyle w:val="tabletext"/>
              <w:rPr>
                <w:b/>
                <w:color w:val="FFFFFF"/>
              </w:rPr>
            </w:pPr>
            <w:r w:rsidRPr="00F60F60">
              <w:rPr>
                <w:b/>
                <w:color w:val="FFFFFF"/>
              </w:rPr>
              <w:t>Area</w:t>
            </w:r>
            <w:r w:rsidR="00B1799B" w:rsidRPr="00F60F60">
              <w:rPr>
                <w:b/>
                <w:color w:val="FFFFFF"/>
              </w:rPr>
              <w:t xml:space="preserve"> (acres)</w:t>
            </w:r>
          </w:p>
        </w:tc>
      </w:tr>
      <w:tr w:rsidR="00B1799B" w:rsidTr="00C075CF">
        <w:trPr>
          <w:cantSplit/>
          <w:jc w:val="center"/>
        </w:trPr>
        <w:tc>
          <w:tcPr>
            <w:tcW w:w="3267" w:type="dxa"/>
            <w:tcBorders>
              <w:top w:val="nil"/>
              <w:left w:val="single" w:sz="12" w:space="0" w:color="0D2B88"/>
              <w:bottom w:val="single" w:sz="6" w:space="0" w:color="C0C0C0"/>
              <w:right w:val="nil"/>
              <w:tl2br w:val="nil"/>
              <w:tr2bl w:val="nil"/>
            </w:tcBorders>
            <w:shd w:val="clear" w:color="auto" w:fill="auto"/>
            <w:vAlign w:val="bottom"/>
          </w:tcPr>
          <w:p w:rsidR="00B1799B" w:rsidRDefault="00B1799B" w:rsidP="00B1799B">
            <w:pPr>
              <w:pStyle w:val="tabletext"/>
            </w:pPr>
            <w:r>
              <w:t>RM I Pond 3</w:t>
            </w:r>
          </w:p>
        </w:tc>
        <w:tc>
          <w:tcPr>
            <w:tcW w:w="2372" w:type="dxa"/>
            <w:gridSpan w:val="3"/>
            <w:tcBorders>
              <w:top w:val="nil"/>
              <w:left w:val="nil"/>
              <w:bottom w:val="single" w:sz="6" w:space="0" w:color="C0C0C0"/>
              <w:right w:val="single" w:sz="12" w:space="0" w:color="0D2B88"/>
              <w:tl2br w:val="nil"/>
              <w:tr2bl w:val="nil"/>
            </w:tcBorders>
            <w:shd w:val="clear" w:color="auto" w:fill="auto"/>
            <w:vAlign w:val="bottom"/>
          </w:tcPr>
          <w:p w:rsidR="00B1799B" w:rsidRDefault="00314F75" w:rsidP="00B1799B">
            <w:pPr>
              <w:pStyle w:val="tabletext"/>
            </w:pPr>
            <w:r>
              <w:t>0.4</w:t>
            </w:r>
          </w:p>
        </w:tc>
      </w:tr>
      <w:tr w:rsidR="00B1799B" w:rsidTr="00C075CF">
        <w:trPr>
          <w:cantSplit/>
          <w:jc w:val="center"/>
        </w:trPr>
        <w:tc>
          <w:tcPr>
            <w:tcW w:w="3267" w:type="dxa"/>
            <w:tcBorders>
              <w:top w:val="nil"/>
              <w:left w:val="single" w:sz="12" w:space="0" w:color="0D2B88"/>
              <w:bottom w:val="single" w:sz="6" w:space="0" w:color="C0C0C0"/>
              <w:right w:val="nil"/>
              <w:tl2br w:val="nil"/>
              <w:tr2bl w:val="nil"/>
            </w:tcBorders>
            <w:shd w:val="clear" w:color="auto" w:fill="auto"/>
            <w:vAlign w:val="bottom"/>
          </w:tcPr>
          <w:p w:rsidR="00B1799B" w:rsidRDefault="00B1799B" w:rsidP="00B1799B">
            <w:pPr>
              <w:pStyle w:val="tabletext"/>
            </w:pPr>
            <w:r>
              <w:t>RM I Pond 4</w:t>
            </w:r>
            <w:r w:rsidR="00AB20D6">
              <w:t xml:space="preserve"> </w:t>
            </w:r>
          </w:p>
        </w:tc>
        <w:tc>
          <w:tcPr>
            <w:tcW w:w="2372" w:type="dxa"/>
            <w:gridSpan w:val="3"/>
            <w:tcBorders>
              <w:top w:val="nil"/>
              <w:left w:val="nil"/>
              <w:bottom w:val="single" w:sz="6" w:space="0" w:color="C0C0C0"/>
              <w:right w:val="single" w:sz="12" w:space="0" w:color="0D2B88"/>
              <w:tl2br w:val="nil"/>
              <w:tr2bl w:val="nil"/>
            </w:tcBorders>
            <w:shd w:val="clear" w:color="auto" w:fill="auto"/>
            <w:vAlign w:val="bottom"/>
          </w:tcPr>
          <w:p w:rsidR="00B1799B" w:rsidRDefault="00B1799B" w:rsidP="00B1799B">
            <w:pPr>
              <w:pStyle w:val="tabletext"/>
            </w:pPr>
            <w:r>
              <w:t>0.8</w:t>
            </w:r>
          </w:p>
        </w:tc>
      </w:tr>
      <w:tr w:rsidR="00B1799B" w:rsidTr="00C075CF">
        <w:trPr>
          <w:cantSplit/>
          <w:jc w:val="center"/>
        </w:trPr>
        <w:tc>
          <w:tcPr>
            <w:tcW w:w="3267" w:type="dxa"/>
            <w:tcBorders>
              <w:top w:val="nil"/>
              <w:left w:val="single" w:sz="12" w:space="0" w:color="0D2B88"/>
              <w:bottom w:val="single" w:sz="6" w:space="0" w:color="C0C0C0"/>
              <w:right w:val="nil"/>
              <w:tl2br w:val="nil"/>
              <w:tr2bl w:val="nil"/>
            </w:tcBorders>
            <w:shd w:val="clear" w:color="auto" w:fill="auto"/>
            <w:vAlign w:val="bottom"/>
          </w:tcPr>
          <w:p w:rsidR="00B1799B" w:rsidRDefault="00B1799B" w:rsidP="00B1799B">
            <w:pPr>
              <w:pStyle w:val="tabletext"/>
            </w:pPr>
            <w:r>
              <w:t>RM I Pond 5</w:t>
            </w:r>
            <w:r w:rsidR="008D0B63">
              <w:t xml:space="preserve"> </w:t>
            </w:r>
          </w:p>
        </w:tc>
        <w:tc>
          <w:tcPr>
            <w:tcW w:w="2372" w:type="dxa"/>
            <w:gridSpan w:val="3"/>
            <w:tcBorders>
              <w:top w:val="nil"/>
              <w:left w:val="nil"/>
              <w:bottom w:val="single" w:sz="6" w:space="0" w:color="C0C0C0"/>
              <w:right w:val="single" w:sz="12" w:space="0" w:color="0D2B88"/>
              <w:tl2br w:val="nil"/>
              <w:tr2bl w:val="nil"/>
            </w:tcBorders>
            <w:shd w:val="clear" w:color="auto" w:fill="auto"/>
            <w:vAlign w:val="bottom"/>
          </w:tcPr>
          <w:p w:rsidR="00B1799B" w:rsidRDefault="00B1799B" w:rsidP="00B1799B">
            <w:pPr>
              <w:pStyle w:val="tabletext"/>
            </w:pPr>
            <w:r>
              <w:t>1.2</w:t>
            </w:r>
          </w:p>
        </w:tc>
      </w:tr>
      <w:tr w:rsidR="00B1799B" w:rsidTr="00C075CF">
        <w:trPr>
          <w:cantSplit/>
          <w:jc w:val="center"/>
        </w:trPr>
        <w:tc>
          <w:tcPr>
            <w:tcW w:w="3267" w:type="dxa"/>
            <w:tcBorders>
              <w:top w:val="nil"/>
              <w:left w:val="single" w:sz="12" w:space="0" w:color="0D2B88"/>
              <w:bottom w:val="single" w:sz="6" w:space="0" w:color="C0C0C0"/>
              <w:right w:val="nil"/>
              <w:tl2br w:val="nil"/>
              <w:tr2bl w:val="nil"/>
            </w:tcBorders>
            <w:shd w:val="clear" w:color="auto" w:fill="auto"/>
            <w:vAlign w:val="bottom"/>
          </w:tcPr>
          <w:p w:rsidR="00B1799B" w:rsidRDefault="00B1799B" w:rsidP="00B1799B">
            <w:pPr>
              <w:pStyle w:val="tabletext"/>
            </w:pPr>
            <w:r>
              <w:t>RM I Pond 6</w:t>
            </w:r>
          </w:p>
        </w:tc>
        <w:tc>
          <w:tcPr>
            <w:tcW w:w="2372" w:type="dxa"/>
            <w:gridSpan w:val="3"/>
            <w:tcBorders>
              <w:top w:val="nil"/>
              <w:left w:val="nil"/>
              <w:bottom w:val="single" w:sz="6" w:space="0" w:color="C0C0C0"/>
              <w:right w:val="single" w:sz="12" w:space="0" w:color="0D2B88"/>
              <w:tl2br w:val="nil"/>
              <w:tr2bl w:val="nil"/>
            </w:tcBorders>
            <w:shd w:val="clear" w:color="auto" w:fill="auto"/>
            <w:vAlign w:val="bottom"/>
          </w:tcPr>
          <w:p w:rsidR="00B1799B" w:rsidRDefault="00B1799B" w:rsidP="00B1799B">
            <w:pPr>
              <w:pStyle w:val="tabletext"/>
            </w:pPr>
            <w:r>
              <w:t>2.1</w:t>
            </w:r>
          </w:p>
        </w:tc>
      </w:tr>
      <w:tr w:rsidR="00B1799B" w:rsidTr="00C075CF">
        <w:trPr>
          <w:cantSplit/>
          <w:jc w:val="center"/>
        </w:trPr>
        <w:tc>
          <w:tcPr>
            <w:tcW w:w="3267" w:type="dxa"/>
            <w:tcBorders>
              <w:top w:val="nil"/>
              <w:left w:val="single" w:sz="12" w:space="0" w:color="0D2B88"/>
              <w:bottom w:val="single" w:sz="6" w:space="0" w:color="C0C0C0"/>
              <w:right w:val="nil"/>
              <w:tl2br w:val="nil"/>
              <w:tr2bl w:val="nil"/>
            </w:tcBorders>
            <w:shd w:val="clear" w:color="auto" w:fill="auto"/>
            <w:vAlign w:val="bottom"/>
          </w:tcPr>
          <w:p w:rsidR="00B1799B" w:rsidRDefault="00B1799B" w:rsidP="00B1799B">
            <w:pPr>
              <w:pStyle w:val="tabletext"/>
            </w:pPr>
            <w:r>
              <w:t>RM II Pond 3</w:t>
            </w:r>
            <w:r w:rsidR="00314F75">
              <w:t xml:space="preserve"> (not used)</w:t>
            </w:r>
          </w:p>
        </w:tc>
        <w:tc>
          <w:tcPr>
            <w:tcW w:w="2372" w:type="dxa"/>
            <w:gridSpan w:val="3"/>
            <w:tcBorders>
              <w:top w:val="nil"/>
              <w:left w:val="nil"/>
              <w:bottom w:val="single" w:sz="6" w:space="0" w:color="C0C0C0"/>
              <w:right w:val="single" w:sz="12" w:space="0" w:color="0D2B88"/>
              <w:tl2br w:val="nil"/>
              <w:tr2bl w:val="nil"/>
            </w:tcBorders>
            <w:shd w:val="clear" w:color="auto" w:fill="auto"/>
            <w:vAlign w:val="bottom"/>
          </w:tcPr>
          <w:p w:rsidR="00B1799B" w:rsidRDefault="00B1799B" w:rsidP="00B1799B">
            <w:pPr>
              <w:pStyle w:val="tabletext"/>
            </w:pPr>
            <w:r>
              <w:t>1.1</w:t>
            </w:r>
          </w:p>
        </w:tc>
      </w:tr>
      <w:tr w:rsidR="00B1799B" w:rsidTr="00C075CF">
        <w:trPr>
          <w:cantSplit/>
          <w:jc w:val="center"/>
        </w:trPr>
        <w:tc>
          <w:tcPr>
            <w:tcW w:w="3267" w:type="dxa"/>
            <w:tcBorders>
              <w:top w:val="nil"/>
              <w:left w:val="single" w:sz="12" w:space="0" w:color="0D2B88"/>
              <w:bottom w:val="single" w:sz="12" w:space="0" w:color="0D2B88"/>
              <w:right w:val="nil"/>
              <w:tl2br w:val="nil"/>
              <w:tr2bl w:val="nil"/>
            </w:tcBorders>
            <w:shd w:val="clear" w:color="auto" w:fill="auto"/>
            <w:vAlign w:val="bottom"/>
          </w:tcPr>
          <w:p w:rsidR="00B1799B" w:rsidRDefault="00B1799B" w:rsidP="00B1799B">
            <w:pPr>
              <w:pStyle w:val="tabletext"/>
            </w:pPr>
            <w:r>
              <w:t>RM II Pond 4</w:t>
            </w:r>
            <w:r w:rsidR="00314F75">
              <w:t xml:space="preserve"> (not used)</w:t>
            </w:r>
          </w:p>
        </w:tc>
        <w:tc>
          <w:tcPr>
            <w:tcW w:w="2372" w:type="dxa"/>
            <w:gridSpan w:val="3"/>
            <w:tcBorders>
              <w:top w:val="nil"/>
              <w:left w:val="nil"/>
              <w:bottom w:val="single" w:sz="12" w:space="0" w:color="0D2B88"/>
              <w:right w:val="single" w:sz="12" w:space="0" w:color="0D2B88"/>
              <w:tl2br w:val="nil"/>
              <w:tr2bl w:val="nil"/>
            </w:tcBorders>
            <w:shd w:val="clear" w:color="auto" w:fill="auto"/>
            <w:vAlign w:val="bottom"/>
          </w:tcPr>
          <w:p w:rsidR="00B1799B" w:rsidRDefault="00B1799B" w:rsidP="00B1799B">
            <w:pPr>
              <w:pStyle w:val="tabletext"/>
            </w:pPr>
            <w:r>
              <w:t>1.1</w:t>
            </w:r>
          </w:p>
        </w:tc>
      </w:tr>
    </w:tbl>
    <w:p w:rsidR="003D5B2C" w:rsidRDefault="003D5B2C" w:rsidP="0035320F">
      <w:pPr>
        <w:pStyle w:val="BodyText"/>
        <w:spacing w:before="120"/>
      </w:pPr>
    </w:p>
    <w:p w:rsidR="00B1799B" w:rsidRDefault="00B1799B" w:rsidP="0035320F">
      <w:pPr>
        <w:pStyle w:val="BodyText"/>
        <w:spacing w:before="120"/>
      </w:pPr>
      <w:r>
        <w:lastRenderedPageBreak/>
        <w:t xml:space="preserve">Prior to the </w:t>
      </w:r>
      <w:r w:rsidR="00B8730B">
        <w:t xml:space="preserve">2005 </w:t>
      </w:r>
      <w:r>
        <w:t>maintenance that was performed on RM I Ponds 3 and 4</w:t>
      </w:r>
      <w:r w:rsidR="00474983">
        <w:t>,</w:t>
      </w:r>
      <w:r>
        <w:t xml:space="preserve"> it was </w:t>
      </w:r>
      <w:r w:rsidR="00FD6D71">
        <w:t>estimated</w:t>
      </w:r>
      <w:r w:rsidR="004F6128">
        <w:t xml:space="preserve"> that Ponds 3, 4, and</w:t>
      </w:r>
      <w:r>
        <w:t xml:space="preserve"> 5 at RM I had a percolation capacity of approximately </w:t>
      </w:r>
      <w:r w:rsidR="00E63127">
        <w:t>0.34 inches/day (</w:t>
      </w:r>
      <w:r w:rsidR="00670B82">
        <w:t>SSCWD</w:t>
      </w:r>
      <w:r w:rsidR="00E63127" w:rsidRPr="00FD6D71">
        <w:t xml:space="preserve"> </w:t>
      </w:r>
      <w:r w:rsidR="00252033">
        <w:rPr>
          <w:i/>
          <w:iCs/>
        </w:rPr>
        <w:t>Long-</w:t>
      </w:r>
      <w:r w:rsidR="00E63127" w:rsidRPr="00E63127">
        <w:rPr>
          <w:i/>
          <w:iCs/>
        </w:rPr>
        <w:t>Term Wastewater Ma</w:t>
      </w:r>
      <w:r w:rsidR="00B845CD">
        <w:rPr>
          <w:i/>
          <w:iCs/>
        </w:rPr>
        <w:t>nagement</w:t>
      </w:r>
      <w:r w:rsidR="00E63127" w:rsidRPr="00E63127">
        <w:rPr>
          <w:i/>
          <w:iCs/>
        </w:rPr>
        <w:t xml:space="preserve"> Plan</w:t>
      </w:r>
      <w:r w:rsidR="00E63127">
        <w:t>, RMC 200</w:t>
      </w:r>
      <w:r w:rsidR="00670B82">
        <w:t>6</w:t>
      </w:r>
      <w:r w:rsidR="00E63127">
        <w:t xml:space="preserve">). </w:t>
      </w:r>
      <w:r w:rsidR="006C47FB">
        <w:t xml:space="preserve">After </w:t>
      </w:r>
      <w:r w:rsidR="00B8730B">
        <w:t xml:space="preserve">the 2005 </w:t>
      </w:r>
      <w:r w:rsidR="006C47FB">
        <w:t xml:space="preserve">maintenance </w:t>
      </w:r>
      <w:r w:rsidR="0085223E">
        <w:t xml:space="preserve">was performed on </w:t>
      </w:r>
      <w:proofErr w:type="gramStart"/>
      <w:r w:rsidR="0085223E">
        <w:t>RM</w:t>
      </w:r>
      <w:proofErr w:type="gramEnd"/>
      <w:r w:rsidR="0085223E">
        <w:t xml:space="preserve"> I Ponds 3 and 4</w:t>
      </w:r>
      <w:r w:rsidR="006C47FB">
        <w:t>,</w:t>
      </w:r>
      <w:r w:rsidR="006C47FB" w:rsidRPr="0016225B">
        <w:t xml:space="preserve"> Pond 4 was observed to have a percolation rate of 5.97 in/day</w:t>
      </w:r>
      <w:r w:rsidR="006C47FB">
        <w:t xml:space="preserve"> in August 2006</w:t>
      </w:r>
      <w:r w:rsidR="006C47FB" w:rsidRPr="0016225B">
        <w:t>.</w:t>
      </w:r>
      <w:r w:rsidR="00E63127">
        <w:t xml:space="preserve"> </w:t>
      </w:r>
      <w:r w:rsidR="007323BE">
        <w:t xml:space="preserve">Ponds 3 and 5 </w:t>
      </w:r>
      <w:r w:rsidR="00C04A85">
        <w:t>were</w:t>
      </w:r>
      <w:r w:rsidR="007323BE">
        <w:t xml:space="preserve"> estimated to have percolation rate of 3 in/day. </w:t>
      </w:r>
      <w:r w:rsidR="00C04A85">
        <w:t>While t</w:t>
      </w:r>
      <w:r w:rsidR="00AF28CD">
        <w:t xml:space="preserve">he Pond 6 percolation rate was </w:t>
      </w:r>
      <w:r w:rsidR="00C04A85">
        <w:t xml:space="preserve">originally </w:t>
      </w:r>
      <w:r w:rsidR="00AF28CD">
        <w:t xml:space="preserve">estimated to </w:t>
      </w:r>
      <w:r w:rsidR="00543B6D">
        <w:t xml:space="preserve">be </w:t>
      </w:r>
      <w:r w:rsidR="00AF28CD">
        <w:t>the max</w:t>
      </w:r>
      <w:r w:rsidR="00FD6D71">
        <w:t xml:space="preserve">imum observed percolation rate of </w:t>
      </w:r>
      <w:r w:rsidR="00AF28CD">
        <w:t xml:space="preserve">3.82 in/day based on the Water Balance in the </w:t>
      </w:r>
      <w:r w:rsidR="00252033">
        <w:rPr>
          <w:i/>
          <w:iCs/>
        </w:rPr>
        <w:t>Long-</w:t>
      </w:r>
      <w:r w:rsidR="00AF28CD" w:rsidRPr="00E63127">
        <w:rPr>
          <w:i/>
          <w:iCs/>
        </w:rPr>
        <w:t>Term Wastewater Ma</w:t>
      </w:r>
      <w:r w:rsidR="00B845CD">
        <w:rPr>
          <w:i/>
          <w:iCs/>
        </w:rPr>
        <w:t>nagement</w:t>
      </w:r>
      <w:r w:rsidR="00AF28CD" w:rsidRPr="00E63127">
        <w:rPr>
          <w:i/>
          <w:iCs/>
        </w:rPr>
        <w:t xml:space="preserve"> Plan</w:t>
      </w:r>
      <w:r w:rsidR="00AF28CD">
        <w:t xml:space="preserve">, subsequent percolation monitoring </w:t>
      </w:r>
      <w:r w:rsidR="00FD6D71">
        <w:t xml:space="preserve">in Pond 6 </w:t>
      </w:r>
      <w:r w:rsidR="00AF28CD">
        <w:t>was per</w:t>
      </w:r>
      <w:r w:rsidR="00FD6D71">
        <w:t>formed that</w:t>
      </w:r>
      <w:r w:rsidR="00AF28CD">
        <w:t xml:space="preserve"> indicated </w:t>
      </w:r>
      <w:r w:rsidR="00C76666">
        <w:t>a</w:t>
      </w:r>
      <w:r w:rsidR="00AF28CD">
        <w:t xml:space="preserve"> percolation rate </w:t>
      </w:r>
      <w:r w:rsidR="00C76666">
        <w:t xml:space="preserve">range </w:t>
      </w:r>
      <w:r w:rsidR="00AF28CD">
        <w:t xml:space="preserve">between 1.0 in/day and 3.0 in/day depending on level in the pond.  </w:t>
      </w:r>
      <w:r w:rsidR="00C76666" w:rsidRPr="0035320F">
        <w:t>An a</w:t>
      </w:r>
      <w:r w:rsidR="00AF28CD" w:rsidRPr="0035320F">
        <w:t xml:space="preserve">verage </w:t>
      </w:r>
      <w:r w:rsidR="00C76666" w:rsidRPr="0035320F">
        <w:t xml:space="preserve">Pond 6 </w:t>
      </w:r>
      <w:r w:rsidR="00AF28CD" w:rsidRPr="0035320F">
        <w:t xml:space="preserve">percolation rate </w:t>
      </w:r>
      <w:r w:rsidR="00C76666" w:rsidRPr="0035320F">
        <w:t xml:space="preserve">of </w:t>
      </w:r>
      <w:r w:rsidR="00AF28CD" w:rsidRPr="0035320F">
        <w:t>1.75 in/day</w:t>
      </w:r>
      <w:r w:rsidR="00C76666" w:rsidRPr="0035320F">
        <w:t xml:space="preserve"> </w:t>
      </w:r>
      <w:r w:rsidR="0035320F">
        <w:t xml:space="preserve">(SSCWD </w:t>
      </w:r>
      <w:r w:rsidR="0035320F" w:rsidRPr="0035320F">
        <w:rPr>
          <w:i/>
          <w:iCs/>
        </w:rPr>
        <w:t>Long</w:t>
      </w:r>
      <w:r w:rsidR="0035320F">
        <w:rPr>
          <w:i/>
          <w:iCs/>
        </w:rPr>
        <w:t>-</w:t>
      </w:r>
      <w:r w:rsidR="0035320F" w:rsidRPr="0035320F">
        <w:rPr>
          <w:i/>
          <w:iCs/>
        </w:rPr>
        <w:t>term Wastewater Management Plan</w:t>
      </w:r>
      <w:r w:rsidR="0035320F">
        <w:t xml:space="preserve">) </w:t>
      </w:r>
      <w:r w:rsidR="00C76666" w:rsidRPr="0035320F">
        <w:t>was</w:t>
      </w:r>
      <w:r w:rsidR="00AF28CD" w:rsidRPr="0035320F">
        <w:t xml:space="preserve"> assumed </w:t>
      </w:r>
      <w:r w:rsidR="0035320F">
        <w:t>for the capacity analysis</w:t>
      </w:r>
      <w:r w:rsidR="00AF28CD" w:rsidRPr="0035320F">
        <w:t>.</w:t>
      </w:r>
      <w:r w:rsidR="00AF28CD">
        <w:t xml:space="preserve">  </w:t>
      </w:r>
      <w:r w:rsidR="00E63127">
        <w:t xml:space="preserve">RM II Ponds 3 and 4 </w:t>
      </w:r>
      <w:r w:rsidR="00C76666">
        <w:t>have an estimated</w:t>
      </w:r>
      <w:r w:rsidR="00E63127">
        <w:t xml:space="preserve"> percolation capacity of 1.37 in/day (</w:t>
      </w:r>
      <w:r w:rsidR="00670B82">
        <w:t>SSCWD</w:t>
      </w:r>
      <w:r w:rsidR="00670B82" w:rsidRPr="00E63127">
        <w:rPr>
          <w:i/>
          <w:iCs/>
        </w:rPr>
        <w:t xml:space="preserve"> </w:t>
      </w:r>
      <w:r w:rsidR="00252033">
        <w:rPr>
          <w:i/>
          <w:iCs/>
        </w:rPr>
        <w:t>Long-</w:t>
      </w:r>
      <w:r w:rsidR="00E63127" w:rsidRPr="00E63127">
        <w:rPr>
          <w:i/>
          <w:iCs/>
        </w:rPr>
        <w:t>Term Wastewater Ma</w:t>
      </w:r>
      <w:r w:rsidR="00B845CD">
        <w:rPr>
          <w:i/>
          <w:iCs/>
        </w:rPr>
        <w:t>nagement</w:t>
      </w:r>
      <w:r w:rsidR="00E63127" w:rsidRPr="00E63127">
        <w:rPr>
          <w:i/>
          <w:iCs/>
        </w:rPr>
        <w:t xml:space="preserve"> Plan</w:t>
      </w:r>
      <w:r w:rsidR="00E63127">
        <w:t>).</w:t>
      </w:r>
    </w:p>
    <w:p w:rsidR="006058D1" w:rsidRDefault="00614130" w:rsidP="0035320F">
      <w:pPr>
        <w:pStyle w:val="BodyText"/>
        <w:spacing w:before="120"/>
      </w:pPr>
      <w:r>
        <w:t xml:space="preserve">The improved quality of the treated wastewater with the operation of the </w:t>
      </w:r>
      <w:r w:rsidR="002C2477">
        <w:t>Ridgemark WWTP</w:t>
      </w:r>
      <w:r>
        <w:t xml:space="preserve"> and the continued </w:t>
      </w:r>
      <w:r w:rsidR="002C2477">
        <w:t>ripping</w:t>
      </w:r>
      <w:r>
        <w:t xml:space="preserve"> of </w:t>
      </w:r>
      <w:r w:rsidR="002C2477">
        <w:t>Percolation P</w:t>
      </w:r>
      <w:r>
        <w:t xml:space="preserve">onds </w:t>
      </w:r>
      <w:r w:rsidR="002C2477">
        <w:t xml:space="preserve">3, </w:t>
      </w:r>
      <w:r>
        <w:t>4</w:t>
      </w:r>
      <w:r w:rsidR="002C2477">
        <w:t>,</w:t>
      </w:r>
      <w:r>
        <w:t xml:space="preserve"> and 5 have significantly improved the percolation rates of these ponds.  The following analysis is to better estimate the current percolation rates of RM I Ponds 4 and 5.</w:t>
      </w:r>
      <w:r w:rsidR="0085223E">
        <w:t xml:space="preserve"> </w:t>
      </w:r>
    </w:p>
    <w:p w:rsidR="006E77A2" w:rsidRDefault="0085223E" w:rsidP="0035320F">
      <w:pPr>
        <w:pStyle w:val="BodyText"/>
        <w:spacing w:before="120"/>
      </w:pPr>
      <w:r>
        <w:t xml:space="preserve">Pond 5 operated as the single disposal pond from January through May of 2018 and achieved a point of equilibrium in which the water level in the pond neither rose nor fell significantly.  At this point, it is assumed </w:t>
      </w:r>
      <w:r w:rsidR="003F3B88">
        <w:t>percolation rate is equal to the average inflow minus evaporation</w:t>
      </w:r>
      <w:r>
        <w:t xml:space="preserve">.  The approximate surface water surface area was </w:t>
      </w:r>
      <w:r w:rsidR="00C8251D">
        <w:t xml:space="preserve">estimated to be </w:t>
      </w:r>
      <w:r w:rsidR="00B0420F">
        <w:t>0.65</w:t>
      </w:r>
      <w:r w:rsidR="00C8251D">
        <w:t xml:space="preserve"> ac.  The annual average daily flow for 2018 was </w:t>
      </w:r>
      <w:r w:rsidR="003F3B88">
        <w:t>151,706 gallons and the average daily evaporation was 0.06in</w:t>
      </w:r>
      <w:r w:rsidR="00DE5297">
        <w:t xml:space="preserve"> as calculated in Section 3.4</w:t>
      </w:r>
      <w:r w:rsidR="003F3B88">
        <w:t xml:space="preserve">.  </w:t>
      </w:r>
      <w:proofErr w:type="gramStart"/>
      <w:r w:rsidR="003F3B88">
        <w:t>Thus</w:t>
      </w:r>
      <w:proofErr w:type="gramEnd"/>
      <w:r w:rsidR="003F3B88">
        <w:t xml:space="preserve"> the calculated percolation rate for Pond 5 is 8.54 in/day.</w:t>
      </w:r>
      <w:r w:rsidR="00C8251D">
        <w:t xml:space="preserve"> </w:t>
      </w:r>
    </w:p>
    <w:p w:rsidR="0085223E" w:rsidRPr="003F3B88" w:rsidRDefault="0009663A" w:rsidP="0035320F">
      <w:pPr>
        <w:pStyle w:val="BodyText"/>
        <w:spacing w:before="120"/>
      </w:pPr>
      <m:oMathPara>
        <m:oMath>
          <m:f>
            <m:fPr>
              <m:ctrlPr>
                <w:rPr>
                  <w:rFonts w:ascii="Cambria Math" w:hAnsi="Cambria Math"/>
                  <w:i/>
                </w:rPr>
              </m:ctrlPr>
            </m:fPr>
            <m:num>
              <m:r>
                <w:rPr>
                  <w:rFonts w:ascii="Cambria Math" w:hAnsi="Cambria Math"/>
                </w:rPr>
                <m:t>151,706 gal</m:t>
              </m:r>
            </m:num>
            <m:den>
              <m:r>
                <w:rPr>
                  <w:rFonts w:ascii="Cambria Math" w:hAnsi="Cambria Math"/>
                </w:rPr>
                <m:t>1 day</m:t>
              </m:r>
            </m:den>
          </m:f>
          <m:r>
            <w:rPr>
              <w:rFonts w:ascii="Cambria Math" w:hAnsi="Cambria Math"/>
            </w:rPr>
            <m:t xml:space="preserve"> X </m:t>
          </m:r>
          <m:f>
            <m:fPr>
              <m:ctrlPr>
                <w:rPr>
                  <w:rFonts w:ascii="Cambria Math" w:hAnsi="Cambria Math"/>
                  <w:i/>
                </w:rPr>
              </m:ctrlPr>
            </m:fPr>
            <m:num>
              <m:r>
                <w:rPr>
                  <w:rFonts w:ascii="Cambria Math" w:hAnsi="Cambria Math"/>
                </w:rPr>
                <m:t>1 CF</m:t>
              </m:r>
            </m:num>
            <m:den>
              <m:r>
                <w:rPr>
                  <w:rFonts w:ascii="Cambria Math" w:hAnsi="Cambria Math"/>
                </w:rPr>
                <m:t>7.48 gal</m:t>
              </m:r>
            </m:den>
          </m:f>
          <m:r>
            <w:rPr>
              <w:rFonts w:ascii="Cambria Math" w:hAnsi="Cambria Math"/>
            </w:rPr>
            <m:t xml:space="preserve"> X </m:t>
          </m:r>
          <m:f>
            <m:fPr>
              <m:ctrlPr>
                <w:rPr>
                  <w:rFonts w:ascii="Cambria Math" w:hAnsi="Cambria Math"/>
                  <w:i/>
                </w:rPr>
              </m:ctrlPr>
            </m:fPr>
            <m:num>
              <m:r>
                <w:rPr>
                  <w:rFonts w:ascii="Cambria Math" w:hAnsi="Cambria Math"/>
                </w:rPr>
                <m:t>1 ac</m:t>
              </m:r>
            </m:num>
            <m:den>
              <m:r>
                <w:rPr>
                  <w:rFonts w:ascii="Cambria Math" w:hAnsi="Cambria Math"/>
                </w:rPr>
                <m:t>43,560 SF</m:t>
              </m:r>
            </m:den>
          </m:f>
          <m:r>
            <w:rPr>
              <w:rFonts w:ascii="Cambria Math" w:hAnsi="Cambria Math"/>
            </w:rPr>
            <m:t xml:space="preserve"> X </m:t>
          </m:r>
          <m:f>
            <m:fPr>
              <m:ctrlPr>
                <w:rPr>
                  <w:rFonts w:ascii="Cambria Math" w:hAnsi="Cambria Math"/>
                  <w:i/>
                </w:rPr>
              </m:ctrlPr>
            </m:fPr>
            <m:num>
              <m:r>
                <w:rPr>
                  <w:rFonts w:ascii="Cambria Math" w:hAnsi="Cambria Math"/>
                </w:rPr>
                <m:t>1</m:t>
              </m:r>
            </m:num>
            <m:den>
              <m:r>
                <w:rPr>
                  <w:rFonts w:ascii="Cambria Math" w:hAnsi="Cambria Math"/>
                </w:rPr>
                <m:t>0.65 ac</m:t>
              </m:r>
            </m:den>
          </m:f>
          <m:r>
            <w:rPr>
              <w:rFonts w:ascii="Cambria Math" w:hAnsi="Cambria Math"/>
            </w:rPr>
            <m:t xml:space="preserve">  X </m:t>
          </m:r>
          <m:f>
            <m:fPr>
              <m:ctrlPr>
                <w:rPr>
                  <w:rFonts w:ascii="Cambria Math" w:hAnsi="Cambria Math"/>
                  <w:i/>
                </w:rPr>
              </m:ctrlPr>
            </m:fPr>
            <m:num>
              <m:r>
                <w:rPr>
                  <w:rFonts w:ascii="Cambria Math" w:hAnsi="Cambria Math"/>
                </w:rPr>
                <m:t>12 in</m:t>
              </m:r>
            </m:num>
            <m:den>
              <m:r>
                <w:rPr>
                  <w:rFonts w:ascii="Cambria Math" w:hAnsi="Cambria Math"/>
                </w:rPr>
                <m:t>1 ft</m:t>
              </m:r>
            </m:den>
          </m:f>
          <m:r>
            <w:rPr>
              <w:rFonts w:ascii="Cambria Math" w:hAnsi="Cambria Math"/>
            </w:rPr>
            <m:t>=8.60</m:t>
          </m:r>
          <m:f>
            <m:fPr>
              <m:ctrlPr>
                <w:rPr>
                  <w:rFonts w:ascii="Cambria Math" w:hAnsi="Cambria Math"/>
                  <w:i/>
                </w:rPr>
              </m:ctrlPr>
            </m:fPr>
            <m:num>
              <m:r>
                <w:rPr>
                  <w:rFonts w:ascii="Cambria Math" w:hAnsi="Cambria Math"/>
                </w:rPr>
                <m:t>in</m:t>
              </m:r>
            </m:num>
            <m:den>
              <m:r>
                <w:rPr>
                  <w:rFonts w:ascii="Cambria Math" w:hAnsi="Cambria Math"/>
                </w:rPr>
                <m:t>day</m:t>
              </m:r>
            </m:den>
          </m:f>
        </m:oMath>
      </m:oMathPara>
    </w:p>
    <w:p w:rsidR="003F3B88" w:rsidRPr="00DE5297" w:rsidRDefault="003F3B88" w:rsidP="0035320F">
      <w:pPr>
        <w:pStyle w:val="BodyText"/>
        <w:spacing w:before="120"/>
      </w:pPr>
      <m:oMathPara>
        <m:oMath>
          <m:r>
            <w:rPr>
              <w:rFonts w:ascii="Cambria Math" w:hAnsi="Cambria Math"/>
            </w:rPr>
            <m:t>8.60</m:t>
          </m:r>
          <m:f>
            <m:fPr>
              <m:ctrlPr>
                <w:rPr>
                  <w:rFonts w:ascii="Cambria Math" w:hAnsi="Cambria Math"/>
                  <w:i/>
                </w:rPr>
              </m:ctrlPr>
            </m:fPr>
            <m:num>
              <m:r>
                <w:rPr>
                  <w:rFonts w:ascii="Cambria Math" w:hAnsi="Cambria Math"/>
                </w:rPr>
                <m:t>in</m:t>
              </m:r>
            </m:num>
            <m:den>
              <m:r>
                <w:rPr>
                  <w:rFonts w:ascii="Cambria Math" w:hAnsi="Cambria Math"/>
                </w:rPr>
                <m:t>day</m:t>
              </m:r>
            </m:den>
          </m:f>
          <m:r>
            <w:rPr>
              <w:rFonts w:ascii="Cambria Math" w:hAnsi="Cambria Math"/>
            </w:rPr>
            <m:t>-0.06</m:t>
          </m:r>
          <m:f>
            <m:fPr>
              <m:ctrlPr>
                <w:rPr>
                  <w:rFonts w:ascii="Cambria Math" w:hAnsi="Cambria Math"/>
                  <w:i/>
                </w:rPr>
              </m:ctrlPr>
            </m:fPr>
            <m:num>
              <m:r>
                <w:rPr>
                  <w:rFonts w:ascii="Cambria Math" w:hAnsi="Cambria Math"/>
                </w:rPr>
                <m:t>in</m:t>
              </m:r>
            </m:num>
            <m:den>
              <m:r>
                <w:rPr>
                  <w:rFonts w:ascii="Cambria Math" w:hAnsi="Cambria Math"/>
                </w:rPr>
                <m:t>day</m:t>
              </m:r>
            </m:den>
          </m:f>
          <m:r>
            <w:rPr>
              <w:rFonts w:ascii="Cambria Math" w:hAnsi="Cambria Math"/>
            </w:rPr>
            <m:t>=8.54</m:t>
          </m:r>
          <m:f>
            <m:fPr>
              <m:ctrlPr>
                <w:rPr>
                  <w:rFonts w:ascii="Cambria Math" w:hAnsi="Cambria Math"/>
                  <w:i/>
                </w:rPr>
              </m:ctrlPr>
            </m:fPr>
            <m:num>
              <m:r>
                <w:rPr>
                  <w:rFonts w:ascii="Cambria Math" w:hAnsi="Cambria Math"/>
                </w:rPr>
                <m:t>in</m:t>
              </m:r>
            </m:num>
            <m:den>
              <m:r>
                <w:rPr>
                  <w:rFonts w:ascii="Cambria Math" w:hAnsi="Cambria Math"/>
                </w:rPr>
                <m:t>day</m:t>
              </m:r>
            </m:den>
          </m:f>
        </m:oMath>
      </m:oMathPara>
    </w:p>
    <w:p w:rsidR="00DE5297" w:rsidRDefault="00DE5297" w:rsidP="00DE5297">
      <w:pPr>
        <w:pStyle w:val="BodyText"/>
        <w:spacing w:before="120"/>
      </w:pPr>
      <w:r>
        <w:t xml:space="preserve">Pond 4 operated as the single disposal pond from May through December of 2018 </w:t>
      </w:r>
      <w:proofErr w:type="gramStart"/>
      <w:r>
        <w:t>and also</w:t>
      </w:r>
      <w:proofErr w:type="gramEnd"/>
      <w:r>
        <w:t xml:space="preserve"> achieved a point of equilibrium in which the water level in the pond neither rose nor fell significantly.  The approximate surface water surface area was estimated 0.25 ac.  With annual average daily flow for 2018 still 151,706 gallons and the average daily evaporation 0.06in the calculated percolation rate for Pond 4 is 22.29 in/day. </w:t>
      </w:r>
    </w:p>
    <w:p w:rsidR="00DE5297" w:rsidRPr="003F3B88" w:rsidRDefault="0009663A" w:rsidP="00DE5297">
      <w:pPr>
        <w:pStyle w:val="BodyText"/>
        <w:spacing w:before="120"/>
      </w:pPr>
      <m:oMathPara>
        <m:oMath>
          <m:f>
            <m:fPr>
              <m:ctrlPr>
                <w:rPr>
                  <w:rFonts w:ascii="Cambria Math" w:hAnsi="Cambria Math"/>
                  <w:i/>
                </w:rPr>
              </m:ctrlPr>
            </m:fPr>
            <m:num>
              <m:r>
                <w:rPr>
                  <w:rFonts w:ascii="Cambria Math" w:hAnsi="Cambria Math"/>
                </w:rPr>
                <m:t>151,706 gal</m:t>
              </m:r>
            </m:num>
            <m:den>
              <m:r>
                <w:rPr>
                  <w:rFonts w:ascii="Cambria Math" w:hAnsi="Cambria Math"/>
                </w:rPr>
                <m:t>1 day</m:t>
              </m:r>
            </m:den>
          </m:f>
          <m:r>
            <w:rPr>
              <w:rFonts w:ascii="Cambria Math" w:hAnsi="Cambria Math"/>
            </w:rPr>
            <m:t xml:space="preserve"> X </m:t>
          </m:r>
          <m:f>
            <m:fPr>
              <m:ctrlPr>
                <w:rPr>
                  <w:rFonts w:ascii="Cambria Math" w:hAnsi="Cambria Math"/>
                  <w:i/>
                </w:rPr>
              </m:ctrlPr>
            </m:fPr>
            <m:num>
              <m:r>
                <w:rPr>
                  <w:rFonts w:ascii="Cambria Math" w:hAnsi="Cambria Math"/>
                </w:rPr>
                <m:t>1 CF</m:t>
              </m:r>
            </m:num>
            <m:den>
              <m:r>
                <w:rPr>
                  <w:rFonts w:ascii="Cambria Math" w:hAnsi="Cambria Math"/>
                </w:rPr>
                <m:t>7.48 gal</m:t>
              </m:r>
            </m:den>
          </m:f>
          <m:r>
            <w:rPr>
              <w:rFonts w:ascii="Cambria Math" w:hAnsi="Cambria Math"/>
            </w:rPr>
            <m:t xml:space="preserve"> X </m:t>
          </m:r>
          <m:f>
            <m:fPr>
              <m:ctrlPr>
                <w:rPr>
                  <w:rFonts w:ascii="Cambria Math" w:hAnsi="Cambria Math"/>
                  <w:i/>
                </w:rPr>
              </m:ctrlPr>
            </m:fPr>
            <m:num>
              <m:r>
                <w:rPr>
                  <w:rFonts w:ascii="Cambria Math" w:hAnsi="Cambria Math"/>
                </w:rPr>
                <m:t>1 ac</m:t>
              </m:r>
            </m:num>
            <m:den>
              <m:r>
                <w:rPr>
                  <w:rFonts w:ascii="Cambria Math" w:hAnsi="Cambria Math"/>
                </w:rPr>
                <m:t>43,560 SF</m:t>
              </m:r>
            </m:den>
          </m:f>
          <m:r>
            <w:rPr>
              <w:rFonts w:ascii="Cambria Math" w:hAnsi="Cambria Math"/>
            </w:rPr>
            <m:t xml:space="preserve"> X </m:t>
          </m:r>
          <m:f>
            <m:fPr>
              <m:ctrlPr>
                <w:rPr>
                  <w:rFonts w:ascii="Cambria Math" w:hAnsi="Cambria Math"/>
                  <w:i/>
                </w:rPr>
              </m:ctrlPr>
            </m:fPr>
            <m:num>
              <m:r>
                <w:rPr>
                  <w:rFonts w:ascii="Cambria Math" w:hAnsi="Cambria Math"/>
                </w:rPr>
                <m:t>1</m:t>
              </m:r>
            </m:num>
            <m:den>
              <m:r>
                <w:rPr>
                  <w:rFonts w:ascii="Cambria Math" w:hAnsi="Cambria Math"/>
                </w:rPr>
                <m:t>0.25 ac</m:t>
              </m:r>
            </m:den>
          </m:f>
          <m:r>
            <w:rPr>
              <w:rFonts w:ascii="Cambria Math" w:hAnsi="Cambria Math"/>
            </w:rPr>
            <m:t xml:space="preserve">  X </m:t>
          </m:r>
          <m:f>
            <m:fPr>
              <m:ctrlPr>
                <w:rPr>
                  <w:rFonts w:ascii="Cambria Math" w:hAnsi="Cambria Math"/>
                  <w:i/>
                </w:rPr>
              </m:ctrlPr>
            </m:fPr>
            <m:num>
              <m:r>
                <w:rPr>
                  <w:rFonts w:ascii="Cambria Math" w:hAnsi="Cambria Math"/>
                </w:rPr>
                <m:t>12 in</m:t>
              </m:r>
            </m:num>
            <m:den>
              <m:r>
                <w:rPr>
                  <w:rFonts w:ascii="Cambria Math" w:hAnsi="Cambria Math"/>
                </w:rPr>
                <m:t>1 ft</m:t>
              </m:r>
            </m:den>
          </m:f>
          <m:r>
            <w:rPr>
              <w:rFonts w:ascii="Cambria Math" w:hAnsi="Cambria Math"/>
            </w:rPr>
            <m:t>=22.35</m:t>
          </m:r>
          <m:f>
            <m:fPr>
              <m:ctrlPr>
                <w:rPr>
                  <w:rFonts w:ascii="Cambria Math" w:hAnsi="Cambria Math"/>
                  <w:i/>
                </w:rPr>
              </m:ctrlPr>
            </m:fPr>
            <m:num>
              <m:r>
                <w:rPr>
                  <w:rFonts w:ascii="Cambria Math" w:hAnsi="Cambria Math"/>
                </w:rPr>
                <m:t>in</m:t>
              </m:r>
            </m:num>
            <m:den>
              <m:r>
                <w:rPr>
                  <w:rFonts w:ascii="Cambria Math" w:hAnsi="Cambria Math"/>
                </w:rPr>
                <m:t>day</m:t>
              </m:r>
            </m:den>
          </m:f>
        </m:oMath>
      </m:oMathPara>
    </w:p>
    <w:p w:rsidR="00DE5297" w:rsidRPr="002C2477" w:rsidRDefault="00DE5297" w:rsidP="00DE5297">
      <w:pPr>
        <w:pStyle w:val="BodyText"/>
        <w:spacing w:before="120"/>
      </w:pPr>
      <m:oMathPara>
        <m:oMath>
          <m:r>
            <w:rPr>
              <w:rFonts w:ascii="Cambria Math" w:hAnsi="Cambria Math"/>
            </w:rPr>
            <m:t>22.35</m:t>
          </m:r>
          <m:f>
            <m:fPr>
              <m:ctrlPr>
                <w:rPr>
                  <w:rFonts w:ascii="Cambria Math" w:hAnsi="Cambria Math"/>
                  <w:i/>
                </w:rPr>
              </m:ctrlPr>
            </m:fPr>
            <m:num>
              <m:r>
                <w:rPr>
                  <w:rFonts w:ascii="Cambria Math" w:hAnsi="Cambria Math"/>
                </w:rPr>
                <m:t>in</m:t>
              </m:r>
            </m:num>
            <m:den>
              <m:r>
                <w:rPr>
                  <w:rFonts w:ascii="Cambria Math" w:hAnsi="Cambria Math"/>
                </w:rPr>
                <m:t>day</m:t>
              </m:r>
            </m:den>
          </m:f>
          <m:r>
            <w:rPr>
              <w:rFonts w:ascii="Cambria Math" w:hAnsi="Cambria Math"/>
            </w:rPr>
            <m:t>-0.06</m:t>
          </m:r>
          <m:f>
            <m:fPr>
              <m:ctrlPr>
                <w:rPr>
                  <w:rFonts w:ascii="Cambria Math" w:hAnsi="Cambria Math"/>
                  <w:i/>
                </w:rPr>
              </m:ctrlPr>
            </m:fPr>
            <m:num>
              <m:r>
                <w:rPr>
                  <w:rFonts w:ascii="Cambria Math" w:hAnsi="Cambria Math"/>
                </w:rPr>
                <m:t>in</m:t>
              </m:r>
            </m:num>
            <m:den>
              <m:r>
                <w:rPr>
                  <w:rFonts w:ascii="Cambria Math" w:hAnsi="Cambria Math"/>
                </w:rPr>
                <m:t>day</m:t>
              </m:r>
            </m:den>
          </m:f>
          <m:r>
            <w:rPr>
              <w:rFonts w:ascii="Cambria Math" w:hAnsi="Cambria Math"/>
            </w:rPr>
            <m:t>=22.29</m:t>
          </m:r>
          <m:f>
            <m:fPr>
              <m:ctrlPr>
                <w:rPr>
                  <w:rFonts w:ascii="Cambria Math" w:hAnsi="Cambria Math"/>
                  <w:i/>
                </w:rPr>
              </m:ctrlPr>
            </m:fPr>
            <m:num>
              <m:r>
                <w:rPr>
                  <w:rFonts w:ascii="Cambria Math" w:hAnsi="Cambria Math"/>
                </w:rPr>
                <m:t>in</m:t>
              </m:r>
            </m:num>
            <m:den>
              <m:r>
                <w:rPr>
                  <w:rFonts w:ascii="Cambria Math" w:hAnsi="Cambria Math"/>
                </w:rPr>
                <m:t>day</m:t>
              </m:r>
            </m:den>
          </m:f>
        </m:oMath>
      </m:oMathPara>
    </w:p>
    <w:p w:rsidR="00A50B6A" w:rsidRDefault="00A50B6A" w:rsidP="00DE5297">
      <w:pPr>
        <w:pStyle w:val="BodyText"/>
        <w:spacing w:before="120"/>
      </w:pPr>
    </w:p>
    <w:p w:rsidR="002C2477" w:rsidRDefault="007A5451" w:rsidP="00DE5297">
      <w:pPr>
        <w:pStyle w:val="BodyText"/>
        <w:spacing w:before="120"/>
      </w:pPr>
      <w:r>
        <w:t xml:space="preserve">The water level in Percolation Pond 4 rose by approximately 10 feet from January to December 2019.  This indicates that the percolation rate has temporarily decreased as algae and sediments fill pore spaces in the upper soil and begin to seal the pond.  </w:t>
      </w:r>
      <w:proofErr w:type="gramStart"/>
      <w:r>
        <w:t>However</w:t>
      </w:r>
      <w:proofErr w:type="gramEnd"/>
      <w:r>
        <w:t xml:space="preserve"> we anticipate a return to a percolation rate near </w:t>
      </w:r>
      <w:r w:rsidR="00A50B6A">
        <w:t>22 in/day once it is drained and ripped</w:t>
      </w:r>
      <w:r w:rsidR="00D25E6E">
        <w:t xml:space="preserve"> to reopen those pore spaces</w:t>
      </w:r>
      <w:r w:rsidR="00A50B6A">
        <w:t>.</w:t>
      </w:r>
    </w:p>
    <w:p w:rsidR="00A50B6A" w:rsidRDefault="00A50B6A" w:rsidP="00DE5297">
      <w:pPr>
        <w:pStyle w:val="BodyText"/>
        <w:spacing w:before="120"/>
      </w:pPr>
    </w:p>
    <w:p w:rsidR="00A50B6A" w:rsidRDefault="00A50B6A" w:rsidP="00DE5297">
      <w:pPr>
        <w:pStyle w:val="BodyText"/>
        <w:spacing w:before="120"/>
      </w:pPr>
    </w:p>
    <w:p w:rsidR="00A50B6A" w:rsidRPr="00366BBE" w:rsidRDefault="00A50B6A" w:rsidP="00DE5297">
      <w:pPr>
        <w:pStyle w:val="BodyText"/>
        <w:spacing w:before="120"/>
      </w:pPr>
    </w:p>
    <w:p w:rsidR="00366BBE" w:rsidRDefault="00366BBE" w:rsidP="00366BBE">
      <w:pPr>
        <w:pStyle w:val="BodyText"/>
      </w:pPr>
      <w:r>
        <w:t>Table 3-3 sum</w:t>
      </w:r>
      <w:r w:rsidR="007D1D27">
        <w:t>marizes the</w:t>
      </w:r>
      <w:r>
        <w:t xml:space="preserve"> </w:t>
      </w:r>
      <w:r w:rsidR="007D1D27">
        <w:t>maximum surface areas</w:t>
      </w:r>
      <w:r>
        <w:t xml:space="preserve">, percolation rates, and </w:t>
      </w:r>
      <w:r w:rsidR="007D1D27">
        <w:t xml:space="preserve">annual </w:t>
      </w:r>
      <w:r>
        <w:t>maximum percolation capacities</w:t>
      </w:r>
      <w:r w:rsidR="007D1D27">
        <w:t xml:space="preserve"> for each disposal pond</w:t>
      </w:r>
      <w:r w:rsidRPr="00297B5E">
        <w:t>.</w:t>
      </w:r>
      <w:r>
        <w:t xml:space="preserve"> </w:t>
      </w:r>
    </w:p>
    <w:p w:rsidR="00366BBE" w:rsidRDefault="00366BBE" w:rsidP="00366BBE">
      <w:pPr>
        <w:pStyle w:val="Caption"/>
        <w:keepNext/>
      </w:pPr>
      <w:r>
        <w:t xml:space="preserve">Table </w:t>
      </w:r>
      <w:r>
        <w:rPr>
          <w:noProof/>
        </w:rPr>
        <w:fldChar w:fldCharType="begin"/>
      </w:r>
      <w:r>
        <w:rPr>
          <w:noProof/>
        </w:rPr>
        <w:instrText xml:space="preserve"> STYLEREF 1 \s </w:instrText>
      </w:r>
      <w:r>
        <w:rPr>
          <w:noProof/>
        </w:rPr>
        <w:fldChar w:fldCharType="separate"/>
      </w:r>
      <w:r w:rsidR="0009663A">
        <w:rPr>
          <w:noProof/>
        </w:rPr>
        <w:t>3</w:t>
      </w:r>
      <w:r>
        <w:rPr>
          <w:noProof/>
        </w:rPr>
        <w:fldChar w:fldCharType="end"/>
      </w:r>
      <w:r>
        <w:noBreakHyphen/>
        <w:t>3: Ridgemark Disposal Pond Maximum Surface Area</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430"/>
        <w:gridCol w:w="2520"/>
        <w:gridCol w:w="2970"/>
      </w:tblGrid>
      <w:tr w:rsidR="00366BBE" w:rsidTr="007D1D27">
        <w:trPr>
          <w:cantSplit/>
          <w:jc w:val="center"/>
        </w:trPr>
        <w:tc>
          <w:tcPr>
            <w:tcW w:w="2245" w:type="dxa"/>
            <w:shd w:val="clear" w:color="auto" w:fill="0D2B88"/>
            <w:vAlign w:val="bottom"/>
          </w:tcPr>
          <w:p w:rsidR="00366BBE" w:rsidRPr="007D1D27" w:rsidRDefault="00366BBE" w:rsidP="00366BBE">
            <w:pPr>
              <w:pStyle w:val="tabletext"/>
              <w:rPr>
                <w:b/>
                <w:color w:val="FFFFFF"/>
                <w:sz w:val="18"/>
                <w:szCs w:val="18"/>
              </w:rPr>
            </w:pPr>
            <w:r w:rsidRPr="007D1D27">
              <w:rPr>
                <w:b/>
                <w:color w:val="FFFFFF"/>
                <w:sz w:val="18"/>
                <w:szCs w:val="18"/>
              </w:rPr>
              <w:t>Pond</w:t>
            </w:r>
          </w:p>
        </w:tc>
        <w:tc>
          <w:tcPr>
            <w:tcW w:w="2430" w:type="dxa"/>
            <w:shd w:val="clear" w:color="auto" w:fill="0D2B88"/>
            <w:vAlign w:val="bottom"/>
          </w:tcPr>
          <w:p w:rsidR="00366BBE" w:rsidRPr="007D1D27" w:rsidRDefault="007D1D27" w:rsidP="00366BBE">
            <w:pPr>
              <w:pStyle w:val="tabletext"/>
              <w:rPr>
                <w:b/>
                <w:color w:val="FFFFFF"/>
                <w:sz w:val="18"/>
                <w:szCs w:val="18"/>
              </w:rPr>
            </w:pPr>
            <w:r w:rsidRPr="007D1D27">
              <w:rPr>
                <w:b/>
                <w:color w:val="FFFFFF"/>
                <w:sz w:val="18"/>
                <w:szCs w:val="18"/>
              </w:rPr>
              <w:t xml:space="preserve">Max Surface </w:t>
            </w:r>
            <w:r w:rsidR="00366BBE" w:rsidRPr="007D1D27">
              <w:rPr>
                <w:b/>
                <w:color w:val="FFFFFF"/>
                <w:sz w:val="18"/>
                <w:szCs w:val="18"/>
              </w:rPr>
              <w:t>Area (acres)</w:t>
            </w:r>
          </w:p>
        </w:tc>
        <w:tc>
          <w:tcPr>
            <w:tcW w:w="2520" w:type="dxa"/>
            <w:shd w:val="clear" w:color="auto" w:fill="0D2B88"/>
          </w:tcPr>
          <w:p w:rsidR="00366BBE" w:rsidRPr="007D1D27" w:rsidRDefault="00366BBE" w:rsidP="00366BBE">
            <w:pPr>
              <w:pStyle w:val="tabletext"/>
              <w:rPr>
                <w:b/>
                <w:color w:val="FFFFFF"/>
                <w:sz w:val="18"/>
                <w:szCs w:val="18"/>
              </w:rPr>
            </w:pPr>
            <w:r w:rsidRPr="007D1D27">
              <w:rPr>
                <w:b/>
                <w:color w:val="FFFFFF"/>
                <w:sz w:val="18"/>
                <w:szCs w:val="18"/>
              </w:rPr>
              <w:t>Percolation Rate (in/day)</w:t>
            </w:r>
          </w:p>
        </w:tc>
        <w:tc>
          <w:tcPr>
            <w:tcW w:w="2970" w:type="dxa"/>
            <w:shd w:val="clear" w:color="auto" w:fill="0D2B88"/>
          </w:tcPr>
          <w:p w:rsidR="00366BBE" w:rsidRPr="007D1D27" w:rsidRDefault="007D1D27" w:rsidP="006308B4">
            <w:pPr>
              <w:pStyle w:val="tabletext"/>
              <w:rPr>
                <w:b/>
                <w:color w:val="FFFFFF"/>
                <w:sz w:val="18"/>
                <w:szCs w:val="18"/>
              </w:rPr>
            </w:pPr>
            <w:r w:rsidRPr="007D1D27">
              <w:rPr>
                <w:b/>
                <w:color w:val="FFFFFF"/>
                <w:sz w:val="18"/>
                <w:szCs w:val="18"/>
              </w:rPr>
              <w:t xml:space="preserve">Annual </w:t>
            </w:r>
            <w:r w:rsidR="00366BBE" w:rsidRPr="007D1D27">
              <w:rPr>
                <w:b/>
                <w:color w:val="FFFFFF"/>
                <w:sz w:val="18"/>
                <w:szCs w:val="18"/>
              </w:rPr>
              <w:t>Max Capacity (</w:t>
            </w:r>
            <w:r w:rsidR="006308B4">
              <w:rPr>
                <w:b/>
                <w:color w:val="FFFFFF"/>
                <w:sz w:val="18"/>
                <w:szCs w:val="18"/>
              </w:rPr>
              <w:t>AFY</w:t>
            </w:r>
            <w:r w:rsidR="00366BBE" w:rsidRPr="007D1D27">
              <w:rPr>
                <w:b/>
                <w:color w:val="FFFFFF"/>
                <w:sz w:val="18"/>
                <w:szCs w:val="18"/>
              </w:rPr>
              <w:t>)</w:t>
            </w:r>
          </w:p>
        </w:tc>
      </w:tr>
      <w:tr w:rsidR="00366BBE" w:rsidTr="007D1D27">
        <w:trPr>
          <w:cantSplit/>
          <w:jc w:val="center"/>
        </w:trPr>
        <w:tc>
          <w:tcPr>
            <w:tcW w:w="2245" w:type="dxa"/>
            <w:vAlign w:val="bottom"/>
          </w:tcPr>
          <w:p w:rsidR="00366BBE" w:rsidRPr="007D1D27" w:rsidRDefault="00366BBE" w:rsidP="00366BBE">
            <w:pPr>
              <w:pStyle w:val="tabletext"/>
              <w:rPr>
                <w:sz w:val="18"/>
                <w:szCs w:val="18"/>
              </w:rPr>
            </w:pPr>
            <w:r w:rsidRPr="007D1D27">
              <w:rPr>
                <w:sz w:val="18"/>
                <w:szCs w:val="18"/>
              </w:rPr>
              <w:t>Pond 3</w:t>
            </w:r>
          </w:p>
        </w:tc>
        <w:tc>
          <w:tcPr>
            <w:tcW w:w="2430" w:type="dxa"/>
            <w:vAlign w:val="bottom"/>
          </w:tcPr>
          <w:p w:rsidR="00366BBE" w:rsidRPr="007D1D27" w:rsidRDefault="00366BBE" w:rsidP="00366BBE">
            <w:pPr>
              <w:pStyle w:val="tabletext"/>
              <w:rPr>
                <w:sz w:val="18"/>
                <w:szCs w:val="18"/>
              </w:rPr>
            </w:pPr>
            <w:r w:rsidRPr="007D1D27">
              <w:rPr>
                <w:sz w:val="18"/>
                <w:szCs w:val="18"/>
              </w:rPr>
              <w:t>0.4</w:t>
            </w:r>
          </w:p>
        </w:tc>
        <w:tc>
          <w:tcPr>
            <w:tcW w:w="2520" w:type="dxa"/>
          </w:tcPr>
          <w:p w:rsidR="00366BBE" w:rsidRPr="007D1D27" w:rsidRDefault="00366BBE" w:rsidP="00366BBE">
            <w:pPr>
              <w:pStyle w:val="tabletext"/>
              <w:rPr>
                <w:sz w:val="18"/>
                <w:szCs w:val="18"/>
              </w:rPr>
            </w:pPr>
            <w:r w:rsidRPr="007D1D27">
              <w:rPr>
                <w:sz w:val="18"/>
                <w:szCs w:val="18"/>
              </w:rPr>
              <w:t>3.00 *</w:t>
            </w:r>
          </w:p>
        </w:tc>
        <w:tc>
          <w:tcPr>
            <w:tcW w:w="2970" w:type="dxa"/>
          </w:tcPr>
          <w:p w:rsidR="00366BBE" w:rsidRPr="007D1D27" w:rsidRDefault="007D1D27" w:rsidP="00366BBE">
            <w:pPr>
              <w:pStyle w:val="tabletext"/>
              <w:rPr>
                <w:sz w:val="18"/>
                <w:szCs w:val="18"/>
              </w:rPr>
            </w:pPr>
            <w:r w:rsidRPr="007D1D27">
              <w:rPr>
                <w:sz w:val="18"/>
                <w:szCs w:val="18"/>
              </w:rPr>
              <w:t>36.50</w:t>
            </w:r>
          </w:p>
        </w:tc>
      </w:tr>
      <w:tr w:rsidR="00366BBE" w:rsidTr="007D1D27">
        <w:trPr>
          <w:cantSplit/>
          <w:jc w:val="center"/>
        </w:trPr>
        <w:tc>
          <w:tcPr>
            <w:tcW w:w="2245" w:type="dxa"/>
            <w:vAlign w:val="bottom"/>
          </w:tcPr>
          <w:p w:rsidR="00366BBE" w:rsidRPr="007D1D27" w:rsidRDefault="00366BBE" w:rsidP="00366BBE">
            <w:pPr>
              <w:pStyle w:val="tabletext"/>
              <w:rPr>
                <w:sz w:val="18"/>
                <w:szCs w:val="18"/>
              </w:rPr>
            </w:pPr>
            <w:r w:rsidRPr="007D1D27">
              <w:rPr>
                <w:sz w:val="18"/>
                <w:szCs w:val="18"/>
              </w:rPr>
              <w:t xml:space="preserve">Pond 4 </w:t>
            </w:r>
          </w:p>
        </w:tc>
        <w:tc>
          <w:tcPr>
            <w:tcW w:w="2430" w:type="dxa"/>
            <w:vAlign w:val="bottom"/>
          </w:tcPr>
          <w:p w:rsidR="00366BBE" w:rsidRPr="007D1D27" w:rsidRDefault="00366BBE" w:rsidP="00366BBE">
            <w:pPr>
              <w:pStyle w:val="tabletext"/>
              <w:rPr>
                <w:sz w:val="18"/>
                <w:szCs w:val="18"/>
              </w:rPr>
            </w:pPr>
            <w:r w:rsidRPr="007D1D27">
              <w:rPr>
                <w:sz w:val="18"/>
                <w:szCs w:val="18"/>
              </w:rPr>
              <w:t>0.8</w:t>
            </w:r>
          </w:p>
        </w:tc>
        <w:tc>
          <w:tcPr>
            <w:tcW w:w="2520" w:type="dxa"/>
          </w:tcPr>
          <w:p w:rsidR="00366BBE" w:rsidRPr="007D1D27" w:rsidRDefault="00366BBE" w:rsidP="00366BBE">
            <w:pPr>
              <w:pStyle w:val="tabletext"/>
              <w:rPr>
                <w:sz w:val="18"/>
                <w:szCs w:val="18"/>
              </w:rPr>
            </w:pPr>
            <w:r w:rsidRPr="007D1D27">
              <w:rPr>
                <w:sz w:val="18"/>
                <w:szCs w:val="18"/>
              </w:rPr>
              <w:t>22.29</w:t>
            </w:r>
          </w:p>
        </w:tc>
        <w:tc>
          <w:tcPr>
            <w:tcW w:w="2970" w:type="dxa"/>
          </w:tcPr>
          <w:p w:rsidR="00366BBE" w:rsidRPr="007D1D27" w:rsidRDefault="007D1D27" w:rsidP="00366BBE">
            <w:pPr>
              <w:pStyle w:val="tabletext"/>
              <w:rPr>
                <w:sz w:val="18"/>
                <w:szCs w:val="18"/>
              </w:rPr>
            </w:pPr>
            <w:r w:rsidRPr="007D1D27">
              <w:rPr>
                <w:sz w:val="18"/>
                <w:szCs w:val="18"/>
              </w:rPr>
              <w:t>542.39</w:t>
            </w:r>
          </w:p>
        </w:tc>
      </w:tr>
      <w:tr w:rsidR="00366BBE" w:rsidTr="007D1D27">
        <w:trPr>
          <w:cantSplit/>
          <w:jc w:val="center"/>
        </w:trPr>
        <w:tc>
          <w:tcPr>
            <w:tcW w:w="2245" w:type="dxa"/>
            <w:vAlign w:val="bottom"/>
          </w:tcPr>
          <w:p w:rsidR="00366BBE" w:rsidRPr="007D1D27" w:rsidRDefault="00366BBE" w:rsidP="00366BBE">
            <w:pPr>
              <w:pStyle w:val="tabletext"/>
              <w:rPr>
                <w:sz w:val="18"/>
                <w:szCs w:val="18"/>
              </w:rPr>
            </w:pPr>
            <w:r w:rsidRPr="007D1D27">
              <w:rPr>
                <w:sz w:val="18"/>
                <w:szCs w:val="18"/>
              </w:rPr>
              <w:t xml:space="preserve">Pond 5 </w:t>
            </w:r>
          </w:p>
        </w:tc>
        <w:tc>
          <w:tcPr>
            <w:tcW w:w="2430" w:type="dxa"/>
            <w:vAlign w:val="bottom"/>
          </w:tcPr>
          <w:p w:rsidR="00366BBE" w:rsidRPr="007D1D27" w:rsidRDefault="00366BBE" w:rsidP="00366BBE">
            <w:pPr>
              <w:pStyle w:val="tabletext"/>
              <w:rPr>
                <w:sz w:val="18"/>
                <w:szCs w:val="18"/>
              </w:rPr>
            </w:pPr>
            <w:r w:rsidRPr="007D1D27">
              <w:rPr>
                <w:sz w:val="18"/>
                <w:szCs w:val="18"/>
              </w:rPr>
              <w:t>1.2</w:t>
            </w:r>
          </w:p>
        </w:tc>
        <w:tc>
          <w:tcPr>
            <w:tcW w:w="2520" w:type="dxa"/>
          </w:tcPr>
          <w:p w:rsidR="00366BBE" w:rsidRPr="007D1D27" w:rsidRDefault="00366BBE" w:rsidP="00366BBE">
            <w:pPr>
              <w:pStyle w:val="tabletext"/>
              <w:rPr>
                <w:sz w:val="18"/>
                <w:szCs w:val="18"/>
              </w:rPr>
            </w:pPr>
            <w:r w:rsidRPr="007D1D27">
              <w:rPr>
                <w:sz w:val="18"/>
                <w:szCs w:val="18"/>
              </w:rPr>
              <w:t>8.54</w:t>
            </w:r>
          </w:p>
        </w:tc>
        <w:tc>
          <w:tcPr>
            <w:tcW w:w="2970" w:type="dxa"/>
          </w:tcPr>
          <w:p w:rsidR="00366BBE" w:rsidRPr="007D1D27" w:rsidRDefault="007D1D27" w:rsidP="00366BBE">
            <w:pPr>
              <w:pStyle w:val="tabletext"/>
              <w:rPr>
                <w:sz w:val="18"/>
                <w:szCs w:val="18"/>
              </w:rPr>
            </w:pPr>
            <w:r w:rsidRPr="007D1D27">
              <w:rPr>
                <w:sz w:val="18"/>
                <w:szCs w:val="18"/>
              </w:rPr>
              <w:t>311.71</w:t>
            </w:r>
          </w:p>
        </w:tc>
      </w:tr>
      <w:tr w:rsidR="00366BBE" w:rsidTr="007D1D27">
        <w:trPr>
          <w:cantSplit/>
          <w:jc w:val="center"/>
        </w:trPr>
        <w:tc>
          <w:tcPr>
            <w:tcW w:w="2245" w:type="dxa"/>
            <w:vAlign w:val="bottom"/>
          </w:tcPr>
          <w:p w:rsidR="00366BBE" w:rsidRPr="007D1D27" w:rsidRDefault="00366BBE" w:rsidP="00366BBE">
            <w:pPr>
              <w:pStyle w:val="tabletext"/>
              <w:rPr>
                <w:sz w:val="18"/>
                <w:szCs w:val="18"/>
              </w:rPr>
            </w:pPr>
            <w:r w:rsidRPr="007D1D27">
              <w:rPr>
                <w:sz w:val="18"/>
                <w:szCs w:val="18"/>
              </w:rPr>
              <w:t>Pond 6</w:t>
            </w:r>
          </w:p>
        </w:tc>
        <w:tc>
          <w:tcPr>
            <w:tcW w:w="2430" w:type="dxa"/>
            <w:vAlign w:val="bottom"/>
          </w:tcPr>
          <w:p w:rsidR="00366BBE" w:rsidRPr="007D1D27" w:rsidRDefault="00366BBE" w:rsidP="00366BBE">
            <w:pPr>
              <w:pStyle w:val="tabletext"/>
              <w:rPr>
                <w:sz w:val="18"/>
                <w:szCs w:val="18"/>
              </w:rPr>
            </w:pPr>
            <w:r w:rsidRPr="007D1D27">
              <w:rPr>
                <w:sz w:val="18"/>
                <w:szCs w:val="18"/>
              </w:rPr>
              <w:t>2.1</w:t>
            </w:r>
          </w:p>
        </w:tc>
        <w:tc>
          <w:tcPr>
            <w:tcW w:w="2520" w:type="dxa"/>
          </w:tcPr>
          <w:p w:rsidR="00366BBE" w:rsidRPr="007D1D27" w:rsidRDefault="00366BBE" w:rsidP="00366BBE">
            <w:pPr>
              <w:pStyle w:val="tabletext"/>
              <w:rPr>
                <w:sz w:val="18"/>
                <w:szCs w:val="18"/>
              </w:rPr>
            </w:pPr>
            <w:r w:rsidRPr="007D1D27">
              <w:rPr>
                <w:sz w:val="18"/>
                <w:szCs w:val="18"/>
              </w:rPr>
              <w:t>1.75 *</w:t>
            </w:r>
          </w:p>
        </w:tc>
        <w:tc>
          <w:tcPr>
            <w:tcW w:w="2970" w:type="dxa"/>
          </w:tcPr>
          <w:p w:rsidR="00366BBE" w:rsidRPr="007D1D27" w:rsidRDefault="007D1D27" w:rsidP="00366BBE">
            <w:pPr>
              <w:pStyle w:val="tabletext"/>
              <w:rPr>
                <w:sz w:val="18"/>
                <w:szCs w:val="18"/>
              </w:rPr>
            </w:pPr>
            <w:r w:rsidRPr="007D1D27">
              <w:rPr>
                <w:sz w:val="18"/>
                <w:szCs w:val="18"/>
              </w:rPr>
              <w:t>111.78</w:t>
            </w:r>
          </w:p>
        </w:tc>
      </w:tr>
      <w:tr w:rsidR="00366BBE" w:rsidTr="007D1D27">
        <w:trPr>
          <w:cantSplit/>
          <w:jc w:val="center"/>
        </w:trPr>
        <w:tc>
          <w:tcPr>
            <w:tcW w:w="2245" w:type="dxa"/>
            <w:vAlign w:val="bottom"/>
          </w:tcPr>
          <w:p w:rsidR="00366BBE" w:rsidRPr="007D1D27" w:rsidRDefault="00366BBE" w:rsidP="00366BBE">
            <w:pPr>
              <w:pStyle w:val="tabletext"/>
              <w:rPr>
                <w:sz w:val="18"/>
                <w:szCs w:val="18"/>
              </w:rPr>
            </w:pPr>
            <w:r w:rsidRPr="007D1D27">
              <w:rPr>
                <w:sz w:val="18"/>
                <w:szCs w:val="18"/>
              </w:rPr>
              <w:t>RM II Pond 3 (not used)</w:t>
            </w:r>
          </w:p>
        </w:tc>
        <w:tc>
          <w:tcPr>
            <w:tcW w:w="2430" w:type="dxa"/>
            <w:vAlign w:val="bottom"/>
          </w:tcPr>
          <w:p w:rsidR="00366BBE" w:rsidRPr="007D1D27" w:rsidRDefault="00366BBE" w:rsidP="00366BBE">
            <w:pPr>
              <w:pStyle w:val="tabletext"/>
              <w:rPr>
                <w:sz w:val="18"/>
                <w:szCs w:val="18"/>
              </w:rPr>
            </w:pPr>
            <w:r w:rsidRPr="007D1D27">
              <w:rPr>
                <w:sz w:val="18"/>
                <w:szCs w:val="18"/>
              </w:rPr>
              <w:t>1.1</w:t>
            </w:r>
          </w:p>
        </w:tc>
        <w:tc>
          <w:tcPr>
            <w:tcW w:w="2520" w:type="dxa"/>
          </w:tcPr>
          <w:p w:rsidR="00366BBE" w:rsidRPr="007D1D27" w:rsidRDefault="00366BBE" w:rsidP="00366BBE">
            <w:pPr>
              <w:pStyle w:val="tabletext"/>
              <w:rPr>
                <w:sz w:val="18"/>
                <w:szCs w:val="18"/>
              </w:rPr>
            </w:pPr>
            <w:r w:rsidRPr="007D1D27">
              <w:rPr>
                <w:sz w:val="18"/>
                <w:szCs w:val="18"/>
              </w:rPr>
              <w:t>1.37</w:t>
            </w:r>
          </w:p>
        </w:tc>
        <w:tc>
          <w:tcPr>
            <w:tcW w:w="2970" w:type="dxa"/>
          </w:tcPr>
          <w:p w:rsidR="00366BBE" w:rsidRPr="007D1D27" w:rsidRDefault="007D1D27" w:rsidP="00366BBE">
            <w:pPr>
              <w:pStyle w:val="tabletext"/>
              <w:rPr>
                <w:sz w:val="18"/>
                <w:szCs w:val="18"/>
              </w:rPr>
            </w:pPr>
            <w:r w:rsidRPr="007D1D27">
              <w:rPr>
                <w:sz w:val="18"/>
                <w:szCs w:val="18"/>
              </w:rPr>
              <w:t>45.83</w:t>
            </w:r>
          </w:p>
        </w:tc>
      </w:tr>
      <w:tr w:rsidR="00366BBE" w:rsidTr="007D1D27">
        <w:trPr>
          <w:cantSplit/>
          <w:jc w:val="center"/>
        </w:trPr>
        <w:tc>
          <w:tcPr>
            <w:tcW w:w="2245" w:type="dxa"/>
            <w:vAlign w:val="bottom"/>
          </w:tcPr>
          <w:p w:rsidR="00366BBE" w:rsidRPr="007D1D27" w:rsidRDefault="00366BBE" w:rsidP="00366BBE">
            <w:pPr>
              <w:pStyle w:val="tabletext"/>
              <w:rPr>
                <w:sz w:val="18"/>
                <w:szCs w:val="18"/>
              </w:rPr>
            </w:pPr>
            <w:r w:rsidRPr="007D1D27">
              <w:rPr>
                <w:sz w:val="18"/>
                <w:szCs w:val="18"/>
              </w:rPr>
              <w:t>RM II Pond 4 (not used)</w:t>
            </w:r>
          </w:p>
        </w:tc>
        <w:tc>
          <w:tcPr>
            <w:tcW w:w="2430" w:type="dxa"/>
            <w:vAlign w:val="bottom"/>
          </w:tcPr>
          <w:p w:rsidR="00366BBE" w:rsidRPr="007D1D27" w:rsidRDefault="00366BBE" w:rsidP="00366BBE">
            <w:pPr>
              <w:pStyle w:val="tabletext"/>
              <w:rPr>
                <w:sz w:val="18"/>
                <w:szCs w:val="18"/>
              </w:rPr>
            </w:pPr>
            <w:r w:rsidRPr="007D1D27">
              <w:rPr>
                <w:sz w:val="18"/>
                <w:szCs w:val="18"/>
              </w:rPr>
              <w:t>1.1</w:t>
            </w:r>
          </w:p>
        </w:tc>
        <w:tc>
          <w:tcPr>
            <w:tcW w:w="2520" w:type="dxa"/>
          </w:tcPr>
          <w:p w:rsidR="00366BBE" w:rsidRPr="007D1D27" w:rsidRDefault="00366BBE" w:rsidP="00366BBE">
            <w:pPr>
              <w:pStyle w:val="tabletext"/>
              <w:rPr>
                <w:sz w:val="18"/>
                <w:szCs w:val="18"/>
              </w:rPr>
            </w:pPr>
            <w:r w:rsidRPr="007D1D27">
              <w:rPr>
                <w:sz w:val="18"/>
                <w:szCs w:val="18"/>
              </w:rPr>
              <w:t>1.37</w:t>
            </w:r>
          </w:p>
        </w:tc>
        <w:tc>
          <w:tcPr>
            <w:tcW w:w="2970" w:type="dxa"/>
          </w:tcPr>
          <w:p w:rsidR="00366BBE" w:rsidRPr="007D1D27" w:rsidRDefault="007D1D27" w:rsidP="00366BBE">
            <w:pPr>
              <w:pStyle w:val="tabletext"/>
              <w:rPr>
                <w:sz w:val="18"/>
                <w:szCs w:val="18"/>
              </w:rPr>
            </w:pPr>
            <w:r w:rsidRPr="007D1D27">
              <w:rPr>
                <w:sz w:val="18"/>
                <w:szCs w:val="18"/>
              </w:rPr>
              <w:t>45.83</w:t>
            </w:r>
            <w:r w:rsidR="00432608">
              <w:rPr>
                <w:sz w:val="18"/>
                <w:szCs w:val="18"/>
              </w:rPr>
              <w:t xml:space="preserve"> </w:t>
            </w:r>
          </w:p>
        </w:tc>
      </w:tr>
    </w:tbl>
    <w:p w:rsidR="00366BBE" w:rsidRDefault="007D1D27" w:rsidP="007D1D27">
      <w:pPr>
        <w:pStyle w:val="BodyText"/>
        <w:spacing w:before="120"/>
      </w:pPr>
      <w:r w:rsidRPr="007D1D27">
        <w:t>*</w:t>
      </w:r>
      <w:r>
        <w:t xml:space="preserve"> Percolation Rates for </w:t>
      </w:r>
      <w:r w:rsidR="002C2477">
        <w:t>Percolation</w:t>
      </w:r>
      <w:r>
        <w:t xml:space="preserve"> Ponds 3 and 6 </w:t>
      </w:r>
      <w:r w:rsidR="00432608">
        <w:t xml:space="preserve">have not been recalculated since the RM I sequential batch reactor treatment plant </w:t>
      </w:r>
      <w:r w:rsidR="001211DC">
        <w:t xml:space="preserve">upgrade and continued pond </w:t>
      </w:r>
      <w:r w:rsidR="002C2477">
        <w:t xml:space="preserve">ripping. </w:t>
      </w:r>
      <w:proofErr w:type="gramStart"/>
      <w:r w:rsidR="002C2477">
        <w:t>Thus</w:t>
      </w:r>
      <w:proofErr w:type="gramEnd"/>
      <w:r w:rsidR="002C2477">
        <w:t xml:space="preserve"> the percolation rates</w:t>
      </w:r>
      <w:r w:rsidR="00432608">
        <w:t xml:space="preserve"> may be significantly higher than shown</w:t>
      </w:r>
    </w:p>
    <w:p w:rsidR="00432608" w:rsidRPr="00C04A85" w:rsidRDefault="00432608" w:rsidP="007D1D27">
      <w:pPr>
        <w:pStyle w:val="BodyText"/>
        <w:spacing w:before="120"/>
      </w:pPr>
      <w:r>
        <w:t xml:space="preserve">By adding the annual maximum capacity of </w:t>
      </w:r>
      <w:r w:rsidR="00A50B6A">
        <w:t>Ridgemark WWTP</w:t>
      </w:r>
      <w:r>
        <w:t xml:space="preserve"> Ponds 3, 4, 5, and 6, the cumulative maximum percolation capacity </w:t>
      </w:r>
      <w:r w:rsidR="001211DC">
        <w:t>is approximately 1002</w:t>
      </w:r>
      <w:r>
        <w:t xml:space="preserve"> ac-ft</w:t>
      </w:r>
      <w:r w:rsidR="001211DC">
        <w:t>.</w:t>
      </w:r>
      <w:r>
        <w:t xml:space="preserve"> per year.  RM II Ponds 3 and 4 are no longer in active operation and therefore are not considered in the cumulative annual maximum percolation capacity.</w:t>
      </w:r>
    </w:p>
    <w:p w:rsidR="00107DD2" w:rsidRDefault="00107DD2" w:rsidP="00107DD2">
      <w:pPr>
        <w:pStyle w:val="Heading2"/>
      </w:pPr>
      <w:bookmarkStart w:id="14" w:name="_Toc125348630"/>
      <w:r>
        <w:t>Evaporation</w:t>
      </w:r>
      <w:bookmarkEnd w:id="14"/>
    </w:p>
    <w:p w:rsidR="003562D9" w:rsidRDefault="003562D9" w:rsidP="003562D9">
      <w:pPr>
        <w:pStyle w:val="BodyText"/>
      </w:pPr>
      <w:r>
        <w:fldChar w:fldCharType="begin"/>
      </w:r>
      <w:r>
        <w:instrText xml:space="preserve"> REF _Ref117913509 \h </w:instrText>
      </w:r>
      <w:r>
        <w:fldChar w:fldCharType="separate"/>
      </w:r>
      <w:r w:rsidR="0009663A">
        <w:t xml:space="preserve">Table </w:t>
      </w:r>
      <w:r w:rsidR="0009663A">
        <w:rPr>
          <w:noProof/>
        </w:rPr>
        <w:t>3</w:t>
      </w:r>
      <w:r w:rsidR="0009663A">
        <w:noBreakHyphen/>
      </w:r>
      <w:r>
        <w:fldChar w:fldCharType="end"/>
      </w:r>
      <w:r w:rsidR="00314F75">
        <w:t>4</w:t>
      </w:r>
      <w:r>
        <w:t xml:space="preserve"> </w:t>
      </w:r>
      <w:r w:rsidRPr="005E0DE4">
        <w:t xml:space="preserve">presents average monthly pan evaporation data from DWR Bulletin 73-79 for the Hollister Costa Station from 1962 to 1966.  </w:t>
      </w:r>
      <w:r w:rsidR="00FD6D71">
        <w:t>These were</w:t>
      </w:r>
      <w:r w:rsidRPr="005E0DE4">
        <w:t xml:space="preserve"> the only pan evaporation data that were found for the </w:t>
      </w:r>
      <w:r w:rsidRPr="00297B5E">
        <w:t xml:space="preserve">region. </w:t>
      </w:r>
      <w:r w:rsidR="00FD6D71" w:rsidRPr="00297B5E">
        <w:t>P</w:t>
      </w:r>
      <w:r w:rsidRPr="00297B5E">
        <w:t xml:space="preserve">ond evaporation rates </w:t>
      </w:r>
      <w:r w:rsidR="00B71BFE">
        <w:t>are</w:t>
      </w:r>
      <w:r w:rsidRPr="00297B5E">
        <w:t xml:space="preserve"> assumed to be 75% of pan evaporation rates.</w:t>
      </w:r>
      <w:r w:rsidR="000E5F91" w:rsidRPr="00297B5E">
        <w:t xml:space="preserve"> </w:t>
      </w:r>
      <w:r w:rsidR="00410E91" w:rsidRPr="00297B5E">
        <w:t>Pond evaporation is</w:t>
      </w:r>
      <w:r w:rsidR="002C5AFE">
        <w:t xml:space="preserve"> thus calculated at 38.83 inches per year. With p</w:t>
      </w:r>
      <w:r w:rsidR="00410E91" w:rsidRPr="00297B5E">
        <w:t xml:space="preserve">recipitation during </w:t>
      </w:r>
      <w:r w:rsidR="00BC2D28">
        <w:t>2019</w:t>
      </w:r>
      <w:r w:rsidR="00410E91" w:rsidRPr="00297B5E">
        <w:t xml:space="preserve"> </w:t>
      </w:r>
      <w:r w:rsidR="002C5AFE">
        <w:t>being</w:t>
      </w:r>
      <w:r w:rsidR="00410E91" w:rsidRPr="00297B5E">
        <w:t xml:space="preserve"> </w:t>
      </w:r>
      <w:r w:rsidR="00BC2D28">
        <w:t>16.30</w:t>
      </w:r>
      <w:r w:rsidR="009A2917">
        <w:t xml:space="preserve"> </w:t>
      </w:r>
      <w:r w:rsidR="00CF4751">
        <w:t>inches</w:t>
      </w:r>
      <w:r w:rsidR="002C5AFE">
        <w:t>,</w:t>
      </w:r>
      <w:r w:rsidR="00410E91" w:rsidRPr="00297B5E">
        <w:t xml:space="preserve"> </w:t>
      </w:r>
      <w:r w:rsidR="002C5AFE">
        <w:t>the n</w:t>
      </w:r>
      <w:r w:rsidR="00410E91" w:rsidRPr="00297B5E">
        <w:t xml:space="preserve">et pond evaporation was 38.83 </w:t>
      </w:r>
      <w:r w:rsidR="00810150" w:rsidRPr="00297B5E">
        <w:t>–</w:t>
      </w:r>
      <w:r w:rsidR="00410E91" w:rsidRPr="00297B5E">
        <w:t xml:space="preserve"> </w:t>
      </w:r>
      <w:r w:rsidR="00BC2D28">
        <w:t>16.30</w:t>
      </w:r>
      <w:r w:rsidR="00410E91" w:rsidRPr="00297B5E">
        <w:t xml:space="preserve"> = </w:t>
      </w:r>
      <w:r w:rsidR="009A2917">
        <w:t>22.</w:t>
      </w:r>
      <w:r w:rsidR="00BC2D28">
        <w:t>53</w:t>
      </w:r>
      <w:r w:rsidR="00410E91" w:rsidRPr="00297B5E">
        <w:t xml:space="preserve"> inches </w:t>
      </w:r>
      <w:r w:rsidR="00CF4751">
        <w:t>this</w:t>
      </w:r>
      <w:r w:rsidR="00410E91" w:rsidRPr="00297B5E">
        <w:t xml:space="preserve"> year</w:t>
      </w:r>
      <w:r w:rsidR="00FC0DDE">
        <w:t xml:space="preserve"> and an average daily evaporation of 0.06 inches</w:t>
      </w:r>
      <w:r w:rsidR="00410E91" w:rsidRPr="00297B5E">
        <w:t xml:space="preserve">. Ridgemark </w:t>
      </w:r>
      <w:r w:rsidR="00BC2D28">
        <w:t>WWTP</w:t>
      </w:r>
      <w:r w:rsidR="00410E91" w:rsidRPr="00297B5E">
        <w:t xml:space="preserve"> Ponds 3, 4, 5 and 6 have a </w:t>
      </w:r>
      <w:r w:rsidR="006058D1">
        <w:t xml:space="preserve">total maximum </w:t>
      </w:r>
      <w:r w:rsidR="00410E91" w:rsidRPr="00297B5E">
        <w:t xml:space="preserve">combined area of </w:t>
      </w:r>
      <w:r w:rsidR="00314F75">
        <w:t>4.5</w:t>
      </w:r>
      <w:r w:rsidR="006058D1">
        <w:t xml:space="preserve"> acres. </w:t>
      </w:r>
      <w:proofErr w:type="gramStart"/>
      <w:r w:rsidR="006058D1">
        <w:t>However</w:t>
      </w:r>
      <w:proofErr w:type="gramEnd"/>
      <w:r w:rsidR="00BC2D28">
        <w:t xml:space="preserve"> P</w:t>
      </w:r>
      <w:r w:rsidR="00410E91" w:rsidRPr="00297B5E">
        <w:t>ond</w:t>
      </w:r>
      <w:r w:rsidR="006058D1">
        <w:t>s</w:t>
      </w:r>
      <w:r w:rsidR="00331D17" w:rsidRPr="00297B5E">
        <w:t xml:space="preserve"> </w:t>
      </w:r>
      <w:r w:rsidR="00BC2D28">
        <w:t xml:space="preserve">3, 5, and </w:t>
      </w:r>
      <w:r w:rsidR="00410E91" w:rsidRPr="00297B5E">
        <w:t xml:space="preserve">6 </w:t>
      </w:r>
      <w:r w:rsidR="00BC2D28">
        <w:t>were</w:t>
      </w:r>
      <w:r w:rsidR="00410E91" w:rsidRPr="00297B5E">
        <w:t xml:space="preserve"> not utilized</w:t>
      </w:r>
      <w:r w:rsidR="00BC2D28">
        <w:t xml:space="preserve"> in 2019</w:t>
      </w:r>
      <w:r w:rsidR="006058D1">
        <w:t xml:space="preserve"> due to the pond rotation schedule</w:t>
      </w:r>
      <w:r w:rsidR="004F6128">
        <w:t>.</w:t>
      </w:r>
      <w:r w:rsidR="00297B5E" w:rsidRPr="00297B5E">
        <w:t xml:space="preserve"> </w:t>
      </w:r>
      <w:r w:rsidR="00FC0DDE">
        <w:t xml:space="preserve">Pond 4 was operated at partial capacity with a water surface area </w:t>
      </w:r>
      <w:r w:rsidR="00BC2D28">
        <w:t>ranging from approximately</w:t>
      </w:r>
      <w:r w:rsidR="00FC0DDE">
        <w:t xml:space="preserve"> 0.</w:t>
      </w:r>
      <w:r w:rsidR="00BC2D28">
        <w:t>25 to 0.6</w:t>
      </w:r>
      <w:r w:rsidR="00FC0DDE">
        <w:t xml:space="preserve"> acres</w:t>
      </w:r>
      <w:r w:rsidR="00BC2D28">
        <w:t xml:space="preserve"> for an average of 0.43 acres</w:t>
      </w:r>
      <w:r w:rsidR="00FC0DDE">
        <w:t xml:space="preserve">. </w:t>
      </w:r>
      <w:proofErr w:type="gramStart"/>
      <w:r w:rsidR="00BC2D28">
        <w:t>Thus</w:t>
      </w:r>
      <w:proofErr w:type="gramEnd"/>
      <w:r w:rsidR="00BC2D28">
        <w:t xml:space="preserve"> </w:t>
      </w:r>
      <w:r w:rsidR="00410E91" w:rsidRPr="00297B5E">
        <w:t xml:space="preserve">Ridgemark </w:t>
      </w:r>
      <w:r w:rsidR="00BC2D28">
        <w:t>WWTP Pond 4</w:t>
      </w:r>
      <w:r w:rsidR="00410E91" w:rsidRPr="00297B5E">
        <w:t xml:space="preserve"> </w:t>
      </w:r>
      <w:r w:rsidR="00BC2D28">
        <w:t>had</w:t>
      </w:r>
      <w:r w:rsidR="00410E91" w:rsidRPr="00297B5E">
        <w:t xml:space="preserve"> </w:t>
      </w:r>
      <w:r w:rsidR="00BC2D28">
        <w:t xml:space="preserve">a </w:t>
      </w:r>
      <w:r w:rsidR="00410E91" w:rsidRPr="00297B5E">
        <w:t xml:space="preserve">total evaporation of </w:t>
      </w:r>
      <w:r w:rsidR="00FC0DDE">
        <w:t>0.</w:t>
      </w:r>
      <w:r w:rsidR="00BC2D28">
        <w:t>81</w:t>
      </w:r>
      <w:r w:rsidR="00410E91" w:rsidRPr="00297B5E">
        <w:t xml:space="preserve"> acre feet </w:t>
      </w:r>
      <w:r w:rsidR="00CF4751">
        <w:t xml:space="preserve">in </w:t>
      </w:r>
      <w:r w:rsidR="00BC2D28">
        <w:t>2019</w:t>
      </w:r>
      <w:r w:rsidR="00410E91" w:rsidRPr="00297B5E">
        <w:t xml:space="preserve"> </w:t>
      </w:r>
      <w:r w:rsidR="001F14AB">
        <w:t>as calculated below</w:t>
      </w:r>
      <w:r w:rsidR="00BC2D28">
        <w:t>.</w:t>
      </w:r>
      <w:r w:rsidR="001F14AB">
        <w:t xml:space="preserve"> </w:t>
      </w:r>
      <w:r w:rsidR="00410E91" w:rsidRPr="00297B5E">
        <w:t>R</w:t>
      </w:r>
      <w:r w:rsidR="00AB248D">
        <w:t>M</w:t>
      </w:r>
      <w:r w:rsidR="00410E91" w:rsidRPr="00297B5E">
        <w:t xml:space="preserve"> II </w:t>
      </w:r>
      <w:r w:rsidR="00437E5B">
        <w:t>was not used</w:t>
      </w:r>
      <w:r w:rsidR="00410E91" w:rsidRPr="00297B5E">
        <w:t>.</w:t>
      </w:r>
      <w:r w:rsidR="00410E91">
        <w:t xml:space="preserve"> </w:t>
      </w:r>
    </w:p>
    <w:p w:rsidR="001F14AB" w:rsidRPr="001F14AB" w:rsidRDefault="009853D3" w:rsidP="003562D9">
      <w:pPr>
        <w:pStyle w:val="BodyText"/>
      </w:pPr>
      <m:oMathPara>
        <m:oMath>
          <m:r>
            <w:rPr>
              <w:rFonts w:ascii="Cambria Math" w:hAnsi="Cambria Math"/>
            </w:rPr>
            <m:t>22.53 in X</m:t>
          </m:r>
          <m:f>
            <m:fPr>
              <m:ctrlPr>
                <w:rPr>
                  <w:rFonts w:ascii="Cambria Math" w:hAnsi="Cambria Math"/>
                  <w:i/>
                </w:rPr>
              </m:ctrlPr>
            </m:fPr>
            <m:num>
              <m:r>
                <w:rPr>
                  <w:rFonts w:ascii="Cambria Math" w:hAnsi="Cambria Math"/>
                </w:rPr>
                <m:t>1 ft</m:t>
              </m:r>
            </m:num>
            <m:den>
              <m:r>
                <w:rPr>
                  <w:rFonts w:ascii="Cambria Math" w:hAnsi="Cambria Math"/>
                </w:rPr>
                <m:t>12 in</m:t>
              </m:r>
            </m:den>
          </m:f>
          <m:r>
            <w:rPr>
              <w:rFonts w:ascii="Cambria Math" w:hAnsi="Cambria Math"/>
            </w:rPr>
            <m:t xml:space="preserve"> X 0.43 ac=0.81 ac ft</m:t>
          </m:r>
        </m:oMath>
      </m:oMathPara>
    </w:p>
    <w:p w:rsidR="003562D9" w:rsidRDefault="003562D9" w:rsidP="003562D9">
      <w:pPr>
        <w:pStyle w:val="Caption"/>
        <w:keepNext/>
      </w:pPr>
      <w:bookmarkStart w:id="15" w:name="_Ref117913509"/>
      <w:r>
        <w:lastRenderedPageBreak/>
        <w:t xml:space="preserve">Table </w:t>
      </w:r>
      <w:r w:rsidR="00C04A85">
        <w:rPr>
          <w:noProof/>
        </w:rPr>
        <w:fldChar w:fldCharType="begin"/>
      </w:r>
      <w:r w:rsidR="00C04A85">
        <w:rPr>
          <w:noProof/>
        </w:rPr>
        <w:instrText xml:space="preserve"> STYLEREF 1 \s </w:instrText>
      </w:r>
      <w:r w:rsidR="00C04A85">
        <w:rPr>
          <w:noProof/>
        </w:rPr>
        <w:fldChar w:fldCharType="separate"/>
      </w:r>
      <w:r w:rsidR="0009663A">
        <w:rPr>
          <w:noProof/>
        </w:rPr>
        <w:t>3</w:t>
      </w:r>
      <w:r w:rsidR="00C04A85">
        <w:rPr>
          <w:noProof/>
        </w:rPr>
        <w:fldChar w:fldCharType="end"/>
      </w:r>
      <w:r w:rsidR="00FF01CC">
        <w:noBreakHyphen/>
      </w:r>
      <w:bookmarkEnd w:id="15"/>
      <w:r w:rsidR="00314F75">
        <w:t>4</w:t>
      </w:r>
      <w:r>
        <w:t>: Pan and Pond Evaporation Data</w:t>
      </w:r>
    </w:p>
    <w:tbl>
      <w:tblPr>
        <w:tblW w:w="0" w:type="auto"/>
        <w:jc w:val="center"/>
        <w:tblBorders>
          <w:top w:val="single" w:sz="12" w:space="0" w:color="0D2B88"/>
          <w:left w:val="single" w:sz="12" w:space="0" w:color="0D2B88"/>
          <w:bottom w:val="single" w:sz="12" w:space="0" w:color="0D2B88"/>
          <w:right w:val="single" w:sz="12" w:space="0" w:color="0D2B88"/>
        </w:tblBorders>
        <w:tblLook w:val="01E0" w:firstRow="1" w:lastRow="1" w:firstColumn="1" w:lastColumn="1" w:noHBand="0" w:noVBand="0"/>
      </w:tblPr>
      <w:tblGrid>
        <w:gridCol w:w="2533"/>
        <w:gridCol w:w="2463"/>
        <w:gridCol w:w="2402"/>
      </w:tblGrid>
      <w:tr w:rsidR="003562D9" w:rsidTr="00F60F60">
        <w:trPr>
          <w:cantSplit/>
          <w:jc w:val="center"/>
        </w:trPr>
        <w:tc>
          <w:tcPr>
            <w:tcW w:w="2533" w:type="dxa"/>
            <w:shd w:val="clear" w:color="auto" w:fill="0D2B88"/>
            <w:vAlign w:val="bottom"/>
          </w:tcPr>
          <w:p w:rsidR="003562D9" w:rsidRPr="00F60F60" w:rsidRDefault="003562D9" w:rsidP="007A0EC4">
            <w:pPr>
              <w:pStyle w:val="tabletext"/>
              <w:rPr>
                <w:b/>
                <w:color w:val="FFFFFF"/>
              </w:rPr>
            </w:pPr>
            <w:r w:rsidRPr="00F60F60">
              <w:rPr>
                <w:b/>
                <w:color w:val="FFFFFF"/>
              </w:rPr>
              <w:t>Month</w:t>
            </w:r>
          </w:p>
        </w:tc>
        <w:tc>
          <w:tcPr>
            <w:tcW w:w="2463" w:type="dxa"/>
            <w:shd w:val="clear" w:color="auto" w:fill="0D2B88"/>
            <w:vAlign w:val="bottom"/>
          </w:tcPr>
          <w:p w:rsidR="003562D9" w:rsidRPr="00F60F60" w:rsidRDefault="003562D9" w:rsidP="007A0EC4">
            <w:pPr>
              <w:pStyle w:val="tabletext"/>
              <w:rPr>
                <w:b/>
                <w:color w:val="FFFFFF"/>
                <w:vertAlign w:val="superscript"/>
              </w:rPr>
            </w:pPr>
            <w:r w:rsidRPr="00F60F60">
              <w:rPr>
                <w:b/>
                <w:color w:val="FFFFFF"/>
              </w:rPr>
              <w:t>Pan Evaporation (in)</w:t>
            </w:r>
            <w:r w:rsidR="006308B4">
              <w:rPr>
                <w:b/>
                <w:color w:val="FFFFFF"/>
              </w:rPr>
              <w:t>*</w:t>
            </w:r>
          </w:p>
        </w:tc>
        <w:tc>
          <w:tcPr>
            <w:tcW w:w="2402" w:type="dxa"/>
            <w:shd w:val="clear" w:color="auto" w:fill="0D2B88"/>
            <w:vAlign w:val="bottom"/>
          </w:tcPr>
          <w:p w:rsidR="003562D9" w:rsidRPr="00F60F60" w:rsidRDefault="003562D9" w:rsidP="007A0EC4">
            <w:pPr>
              <w:pStyle w:val="tabletext"/>
              <w:rPr>
                <w:b/>
                <w:color w:val="FFFFFF"/>
              </w:rPr>
            </w:pPr>
            <w:r w:rsidRPr="00F60F60">
              <w:rPr>
                <w:b/>
                <w:color w:val="FFFFFF"/>
              </w:rPr>
              <w:t>Pond Evaporation (in)</w:t>
            </w:r>
          </w:p>
        </w:tc>
      </w:tr>
      <w:tr w:rsidR="003562D9" w:rsidTr="00F60F60">
        <w:trPr>
          <w:cantSplit/>
          <w:jc w:val="center"/>
        </w:trPr>
        <w:tc>
          <w:tcPr>
            <w:tcW w:w="2533" w:type="dxa"/>
            <w:tcBorders>
              <w:top w:val="nil"/>
              <w:left w:val="single" w:sz="12" w:space="0" w:color="0D2B88"/>
              <w:bottom w:val="single" w:sz="6" w:space="0" w:color="C0C0C0"/>
              <w:right w:val="nil"/>
              <w:tl2br w:val="nil"/>
              <w:tr2bl w:val="nil"/>
            </w:tcBorders>
            <w:shd w:val="clear" w:color="auto" w:fill="auto"/>
            <w:vAlign w:val="bottom"/>
          </w:tcPr>
          <w:p w:rsidR="003562D9" w:rsidRDefault="003562D9" w:rsidP="007A0EC4">
            <w:pPr>
              <w:pStyle w:val="tabletext"/>
            </w:pPr>
            <w:r>
              <w:t>January 2005</w:t>
            </w:r>
          </w:p>
        </w:tc>
        <w:tc>
          <w:tcPr>
            <w:tcW w:w="2463" w:type="dxa"/>
            <w:tcBorders>
              <w:top w:val="nil"/>
              <w:left w:val="nil"/>
              <w:bottom w:val="single" w:sz="6" w:space="0" w:color="C0C0C0"/>
              <w:right w:val="nil"/>
              <w:tl2br w:val="nil"/>
              <w:tr2bl w:val="nil"/>
            </w:tcBorders>
            <w:shd w:val="clear" w:color="auto" w:fill="auto"/>
            <w:vAlign w:val="bottom"/>
          </w:tcPr>
          <w:p w:rsidR="003562D9" w:rsidRPr="00F60F60" w:rsidRDefault="003562D9" w:rsidP="007A0EC4">
            <w:pPr>
              <w:pStyle w:val="tabletext"/>
              <w:rPr>
                <w:szCs w:val="20"/>
              </w:rPr>
            </w:pPr>
            <w:r w:rsidRPr="00F60F60">
              <w:rPr>
                <w:szCs w:val="20"/>
              </w:rPr>
              <w:t>2.05</w:t>
            </w:r>
          </w:p>
        </w:tc>
        <w:tc>
          <w:tcPr>
            <w:tcW w:w="2402" w:type="dxa"/>
            <w:tcBorders>
              <w:top w:val="nil"/>
              <w:left w:val="nil"/>
              <w:bottom w:val="single" w:sz="6" w:space="0" w:color="C0C0C0"/>
              <w:right w:val="single" w:sz="12" w:space="0" w:color="0D2B88"/>
              <w:tl2br w:val="nil"/>
              <w:tr2bl w:val="nil"/>
            </w:tcBorders>
            <w:shd w:val="clear" w:color="auto" w:fill="auto"/>
            <w:vAlign w:val="bottom"/>
          </w:tcPr>
          <w:p w:rsidR="003562D9" w:rsidRPr="00F60F60" w:rsidRDefault="003562D9" w:rsidP="007A0EC4">
            <w:pPr>
              <w:pStyle w:val="tabletext"/>
              <w:rPr>
                <w:szCs w:val="20"/>
              </w:rPr>
            </w:pPr>
            <w:r w:rsidRPr="00F60F60">
              <w:rPr>
                <w:szCs w:val="20"/>
              </w:rPr>
              <w:t>1.54</w:t>
            </w:r>
          </w:p>
        </w:tc>
      </w:tr>
      <w:tr w:rsidR="003562D9" w:rsidTr="00F60F60">
        <w:trPr>
          <w:cantSplit/>
          <w:jc w:val="center"/>
        </w:trPr>
        <w:tc>
          <w:tcPr>
            <w:tcW w:w="2533" w:type="dxa"/>
            <w:tcBorders>
              <w:top w:val="nil"/>
              <w:left w:val="single" w:sz="12" w:space="0" w:color="0D2B88"/>
              <w:bottom w:val="single" w:sz="6" w:space="0" w:color="C0C0C0"/>
              <w:right w:val="nil"/>
              <w:tl2br w:val="nil"/>
              <w:tr2bl w:val="nil"/>
            </w:tcBorders>
            <w:shd w:val="clear" w:color="auto" w:fill="auto"/>
            <w:vAlign w:val="bottom"/>
          </w:tcPr>
          <w:p w:rsidR="003562D9" w:rsidRDefault="003562D9" w:rsidP="007A0EC4">
            <w:pPr>
              <w:pStyle w:val="tabletext"/>
            </w:pPr>
            <w:r>
              <w:t>February 2005</w:t>
            </w:r>
          </w:p>
        </w:tc>
        <w:tc>
          <w:tcPr>
            <w:tcW w:w="2463" w:type="dxa"/>
            <w:tcBorders>
              <w:top w:val="nil"/>
              <w:left w:val="nil"/>
              <w:bottom w:val="single" w:sz="6" w:space="0" w:color="C0C0C0"/>
              <w:right w:val="nil"/>
              <w:tl2br w:val="nil"/>
              <w:tr2bl w:val="nil"/>
            </w:tcBorders>
            <w:shd w:val="clear" w:color="auto" w:fill="auto"/>
            <w:vAlign w:val="bottom"/>
          </w:tcPr>
          <w:p w:rsidR="003562D9" w:rsidRPr="00F60F60" w:rsidRDefault="003562D9" w:rsidP="007A0EC4">
            <w:pPr>
              <w:pStyle w:val="tabletext"/>
              <w:rPr>
                <w:szCs w:val="20"/>
              </w:rPr>
            </w:pPr>
            <w:r w:rsidRPr="00F60F60">
              <w:rPr>
                <w:szCs w:val="20"/>
              </w:rPr>
              <w:t>2.17</w:t>
            </w:r>
          </w:p>
        </w:tc>
        <w:tc>
          <w:tcPr>
            <w:tcW w:w="2402" w:type="dxa"/>
            <w:tcBorders>
              <w:top w:val="nil"/>
              <w:left w:val="nil"/>
              <w:bottom w:val="single" w:sz="6" w:space="0" w:color="C0C0C0"/>
              <w:right w:val="single" w:sz="12" w:space="0" w:color="0D2B88"/>
              <w:tl2br w:val="nil"/>
              <w:tr2bl w:val="nil"/>
            </w:tcBorders>
            <w:shd w:val="clear" w:color="auto" w:fill="auto"/>
            <w:vAlign w:val="bottom"/>
          </w:tcPr>
          <w:p w:rsidR="003562D9" w:rsidRPr="00F60F60" w:rsidRDefault="003562D9" w:rsidP="007A0EC4">
            <w:pPr>
              <w:pStyle w:val="tabletext"/>
              <w:rPr>
                <w:szCs w:val="20"/>
              </w:rPr>
            </w:pPr>
            <w:r w:rsidRPr="00F60F60">
              <w:rPr>
                <w:szCs w:val="20"/>
              </w:rPr>
              <w:t>1.62</w:t>
            </w:r>
          </w:p>
        </w:tc>
      </w:tr>
      <w:tr w:rsidR="003562D9" w:rsidTr="00F60F60">
        <w:trPr>
          <w:cantSplit/>
          <w:jc w:val="center"/>
        </w:trPr>
        <w:tc>
          <w:tcPr>
            <w:tcW w:w="2533" w:type="dxa"/>
            <w:tcBorders>
              <w:top w:val="nil"/>
              <w:left w:val="single" w:sz="12" w:space="0" w:color="0D2B88"/>
              <w:bottom w:val="single" w:sz="6" w:space="0" w:color="C0C0C0"/>
              <w:right w:val="nil"/>
              <w:tl2br w:val="nil"/>
              <w:tr2bl w:val="nil"/>
            </w:tcBorders>
            <w:shd w:val="clear" w:color="auto" w:fill="auto"/>
            <w:vAlign w:val="bottom"/>
          </w:tcPr>
          <w:p w:rsidR="003562D9" w:rsidRDefault="003562D9" w:rsidP="007A0EC4">
            <w:pPr>
              <w:pStyle w:val="tabletext"/>
            </w:pPr>
            <w:r>
              <w:t>March 2005</w:t>
            </w:r>
          </w:p>
        </w:tc>
        <w:tc>
          <w:tcPr>
            <w:tcW w:w="2463" w:type="dxa"/>
            <w:tcBorders>
              <w:top w:val="nil"/>
              <w:left w:val="nil"/>
              <w:bottom w:val="single" w:sz="6" w:space="0" w:color="C0C0C0"/>
              <w:right w:val="nil"/>
              <w:tl2br w:val="nil"/>
              <w:tr2bl w:val="nil"/>
            </w:tcBorders>
            <w:shd w:val="clear" w:color="auto" w:fill="auto"/>
            <w:vAlign w:val="bottom"/>
          </w:tcPr>
          <w:p w:rsidR="003562D9" w:rsidRPr="00F60F60" w:rsidRDefault="003562D9" w:rsidP="007A0EC4">
            <w:pPr>
              <w:pStyle w:val="tabletext"/>
              <w:rPr>
                <w:szCs w:val="20"/>
              </w:rPr>
            </w:pPr>
            <w:r w:rsidRPr="00F60F60">
              <w:rPr>
                <w:szCs w:val="20"/>
              </w:rPr>
              <w:t>3.19</w:t>
            </w:r>
          </w:p>
        </w:tc>
        <w:tc>
          <w:tcPr>
            <w:tcW w:w="2402" w:type="dxa"/>
            <w:tcBorders>
              <w:top w:val="nil"/>
              <w:left w:val="nil"/>
              <w:bottom w:val="single" w:sz="6" w:space="0" w:color="C0C0C0"/>
              <w:right w:val="single" w:sz="12" w:space="0" w:color="0D2B88"/>
              <w:tl2br w:val="nil"/>
              <w:tr2bl w:val="nil"/>
            </w:tcBorders>
            <w:shd w:val="clear" w:color="auto" w:fill="auto"/>
            <w:vAlign w:val="bottom"/>
          </w:tcPr>
          <w:p w:rsidR="003562D9" w:rsidRPr="00F60F60" w:rsidRDefault="003562D9" w:rsidP="007A0EC4">
            <w:pPr>
              <w:pStyle w:val="tabletext"/>
              <w:rPr>
                <w:szCs w:val="20"/>
              </w:rPr>
            </w:pPr>
            <w:r w:rsidRPr="00F60F60">
              <w:rPr>
                <w:szCs w:val="20"/>
              </w:rPr>
              <w:t>2.39</w:t>
            </w:r>
          </w:p>
        </w:tc>
      </w:tr>
      <w:tr w:rsidR="003562D9" w:rsidTr="00F60F60">
        <w:trPr>
          <w:cantSplit/>
          <w:jc w:val="center"/>
        </w:trPr>
        <w:tc>
          <w:tcPr>
            <w:tcW w:w="2533" w:type="dxa"/>
            <w:tcBorders>
              <w:top w:val="nil"/>
              <w:left w:val="single" w:sz="12" w:space="0" w:color="0D2B88"/>
              <w:bottom w:val="single" w:sz="6" w:space="0" w:color="C0C0C0"/>
              <w:right w:val="nil"/>
              <w:tl2br w:val="nil"/>
              <w:tr2bl w:val="nil"/>
            </w:tcBorders>
            <w:shd w:val="clear" w:color="auto" w:fill="auto"/>
            <w:vAlign w:val="bottom"/>
          </w:tcPr>
          <w:p w:rsidR="003562D9" w:rsidRDefault="003562D9" w:rsidP="007A0EC4">
            <w:pPr>
              <w:pStyle w:val="tabletext"/>
            </w:pPr>
            <w:r>
              <w:t>April 2005</w:t>
            </w:r>
          </w:p>
        </w:tc>
        <w:tc>
          <w:tcPr>
            <w:tcW w:w="2463" w:type="dxa"/>
            <w:tcBorders>
              <w:top w:val="nil"/>
              <w:left w:val="nil"/>
              <w:bottom w:val="single" w:sz="6" w:space="0" w:color="C0C0C0"/>
              <w:right w:val="nil"/>
              <w:tl2br w:val="nil"/>
              <w:tr2bl w:val="nil"/>
            </w:tcBorders>
            <w:shd w:val="clear" w:color="auto" w:fill="auto"/>
            <w:vAlign w:val="bottom"/>
          </w:tcPr>
          <w:p w:rsidR="003562D9" w:rsidRPr="00F60F60" w:rsidRDefault="003562D9" w:rsidP="007A0EC4">
            <w:pPr>
              <w:pStyle w:val="tabletext"/>
              <w:rPr>
                <w:szCs w:val="20"/>
              </w:rPr>
            </w:pPr>
            <w:r w:rsidRPr="00F60F60">
              <w:rPr>
                <w:szCs w:val="20"/>
              </w:rPr>
              <w:t>4.84</w:t>
            </w:r>
          </w:p>
        </w:tc>
        <w:tc>
          <w:tcPr>
            <w:tcW w:w="2402" w:type="dxa"/>
            <w:tcBorders>
              <w:top w:val="nil"/>
              <w:left w:val="nil"/>
              <w:bottom w:val="single" w:sz="6" w:space="0" w:color="C0C0C0"/>
              <w:right w:val="single" w:sz="12" w:space="0" w:color="0D2B88"/>
              <w:tl2br w:val="nil"/>
              <w:tr2bl w:val="nil"/>
            </w:tcBorders>
            <w:shd w:val="clear" w:color="auto" w:fill="auto"/>
            <w:vAlign w:val="bottom"/>
          </w:tcPr>
          <w:p w:rsidR="003562D9" w:rsidRPr="00F60F60" w:rsidRDefault="003562D9" w:rsidP="007A0EC4">
            <w:pPr>
              <w:pStyle w:val="tabletext"/>
              <w:rPr>
                <w:szCs w:val="20"/>
              </w:rPr>
            </w:pPr>
            <w:r w:rsidRPr="00F60F60">
              <w:rPr>
                <w:szCs w:val="20"/>
              </w:rPr>
              <w:t>3.63</w:t>
            </w:r>
          </w:p>
        </w:tc>
      </w:tr>
      <w:tr w:rsidR="003562D9" w:rsidTr="00F60F60">
        <w:trPr>
          <w:cantSplit/>
          <w:jc w:val="center"/>
        </w:trPr>
        <w:tc>
          <w:tcPr>
            <w:tcW w:w="2533" w:type="dxa"/>
            <w:tcBorders>
              <w:top w:val="nil"/>
              <w:left w:val="single" w:sz="12" w:space="0" w:color="0D2B88"/>
              <w:bottom w:val="single" w:sz="6" w:space="0" w:color="C0C0C0"/>
              <w:right w:val="nil"/>
              <w:tl2br w:val="nil"/>
              <w:tr2bl w:val="nil"/>
            </w:tcBorders>
            <w:shd w:val="clear" w:color="auto" w:fill="auto"/>
            <w:vAlign w:val="bottom"/>
          </w:tcPr>
          <w:p w:rsidR="003562D9" w:rsidRDefault="003562D9" w:rsidP="007A0EC4">
            <w:pPr>
              <w:pStyle w:val="tabletext"/>
            </w:pPr>
            <w:r>
              <w:t>May 2005</w:t>
            </w:r>
          </w:p>
        </w:tc>
        <w:tc>
          <w:tcPr>
            <w:tcW w:w="2463" w:type="dxa"/>
            <w:tcBorders>
              <w:top w:val="nil"/>
              <w:left w:val="nil"/>
              <w:bottom w:val="single" w:sz="6" w:space="0" w:color="C0C0C0"/>
              <w:right w:val="nil"/>
              <w:tl2br w:val="nil"/>
              <w:tr2bl w:val="nil"/>
            </w:tcBorders>
            <w:shd w:val="clear" w:color="auto" w:fill="auto"/>
            <w:vAlign w:val="bottom"/>
          </w:tcPr>
          <w:p w:rsidR="003562D9" w:rsidRPr="00F60F60" w:rsidRDefault="003562D9" w:rsidP="007A0EC4">
            <w:pPr>
              <w:pStyle w:val="tabletext"/>
              <w:rPr>
                <w:szCs w:val="20"/>
              </w:rPr>
            </w:pPr>
            <w:r w:rsidRPr="00F60F60">
              <w:rPr>
                <w:szCs w:val="20"/>
              </w:rPr>
              <w:t>5.91</w:t>
            </w:r>
          </w:p>
        </w:tc>
        <w:tc>
          <w:tcPr>
            <w:tcW w:w="2402" w:type="dxa"/>
            <w:tcBorders>
              <w:top w:val="nil"/>
              <w:left w:val="nil"/>
              <w:bottom w:val="single" w:sz="6" w:space="0" w:color="C0C0C0"/>
              <w:right w:val="single" w:sz="12" w:space="0" w:color="0D2B88"/>
              <w:tl2br w:val="nil"/>
              <w:tr2bl w:val="nil"/>
            </w:tcBorders>
            <w:shd w:val="clear" w:color="auto" w:fill="auto"/>
            <w:vAlign w:val="bottom"/>
          </w:tcPr>
          <w:p w:rsidR="003562D9" w:rsidRPr="00F60F60" w:rsidRDefault="003562D9" w:rsidP="007A0EC4">
            <w:pPr>
              <w:pStyle w:val="tabletext"/>
              <w:rPr>
                <w:szCs w:val="20"/>
              </w:rPr>
            </w:pPr>
            <w:r w:rsidRPr="00F60F60">
              <w:rPr>
                <w:szCs w:val="20"/>
              </w:rPr>
              <w:t>4.43</w:t>
            </w:r>
          </w:p>
        </w:tc>
      </w:tr>
      <w:tr w:rsidR="003562D9" w:rsidTr="00F60F60">
        <w:trPr>
          <w:cantSplit/>
          <w:jc w:val="center"/>
        </w:trPr>
        <w:tc>
          <w:tcPr>
            <w:tcW w:w="2533" w:type="dxa"/>
            <w:tcBorders>
              <w:top w:val="nil"/>
              <w:left w:val="single" w:sz="12" w:space="0" w:color="0D2B88"/>
              <w:bottom w:val="single" w:sz="6" w:space="0" w:color="C0C0C0"/>
              <w:right w:val="nil"/>
              <w:tl2br w:val="nil"/>
              <w:tr2bl w:val="nil"/>
            </w:tcBorders>
            <w:shd w:val="clear" w:color="auto" w:fill="auto"/>
            <w:vAlign w:val="bottom"/>
          </w:tcPr>
          <w:p w:rsidR="003562D9" w:rsidRDefault="003562D9" w:rsidP="007A0EC4">
            <w:pPr>
              <w:pStyle w:val="tabletext"/>
            </w:pPr>
            <w:r>
              <w:t>June 2005</w:t>
            </w:r>
          </w:p>
        </w:tc>
        <w:tc>
          <w:tcPr>
            <w:tcW w:w="2463" w:type="dxa"/>
            <w:tcBorders>
              <w:top w:val="nil"/>
              <w:left w:val="nil"/>
              <w:bottom w:val="single" w:sz="6" w:space="0" w:color="C0C0C0"/>
              <w:right w:val="nil"/>
              <w:tl2br w:val="nil"/>
              <w:tr2bl w:val="nil"/>
            </w:tcBorders>
            <w:shd w:val="clear" w:color="auto" w:fill="auto"/>
            <w:vAlign w:val="bottom"/>
          </w:tcPr>
          <w:p w:rsidR="003562D9" w:rsidRPr="00F60F60" w:rsidRDefault="003562D9" w:rsidP="007A0EC4">
            <w:pPr>
              <w:pStyle w:val="tabletext"/>
              <w:rPr>
                <w:szCs w:val="20"/>
              </w:rPr>
            </w:pPr>
            <w:r w:rsidRPr="00F60F60">
              <w:rPr>
                <w:szCs w:val="20"/>
              </w:rPr>
              <w:t>6.26</w:t>
            </w:r>
          </w:p>
        </w:tc>
        <w:tc>
          <w:tcPr>
            <w:tcW w:w="2402" w:type="dxa"/>
            <w:tcBorders>
              <w:top w:val="nil"/>
              <w:left w:val="nil"/>
              <w:bottom w:val="single" w:sz="6" w:space="0" w:color="C0C0C0"/>
              <w:right w:val="single" w:sz="12" w:space="0" w:color="0D2B88"/>
              <w:tl2br w:val="nil"/>
              <w:tr2bl w:val="nil"/>
            </w:tcBorders>
            <w:shd w:val="clear" w:color="auto" w:fill="auto"/>
            <w:vAlign w:val="bottom"/>
          </w:tcPr>
          <w:p w:rsidR="003562D9" w:rsidRPr="00F60F60" w:rsidRDefault="003562D9" w:rsidP="007A0EC4">
            <w:pPr>
              <w:pStyle w:val="tabletext"/>
              <w:rPr>
                <w:szCs w:val="20"/>
              </w:rPr>
            </w:pPr>
            <w:r w:rsidRPr="00F60F60">
              <w:rPr>
                <w:szCs w:val="20"/>
              </w:rPr>
              <w:t>4.69</w:t>
            </w:r>
          </w:p>
        </w:tc>
      </w:tr>
      <w:tr w:rsidR="003562D9" w:rsidTr="00F60F60">
        <w:trPr>
          <w:cantSplit/>
          <w:jc w:val="center"/>
        </w:trPr>
        <w:tc>
          <w:tcPr>
            <w:tcW w:w="2533" w:type="dxa"/>
            <w:tcBorders>
              <w:top w:val="nil"/>
              <w:left w:val="single" w:sz="12" w:space="0" w:color="0D2B88"/>
              <w:bottom w:val="single" w:sz="6" w:space="0" w:color="C0C0C0"/>
              <w:right w:val="nil"/>
              <w:tl2br w:val="nil"/>
              <w:tr2bl w:val="nil"/>
            </w:tcBorders>
            <w:shd w:val="clear" w:color="auto" w:fill="auto"/>
            <w:vAlign w:val="bottom"/>
          </w:tcPr>
          <w:p w:rsidR="003562D9" w:rsidRDefault="003562D9" w:rsidP="007A0EC4">
            <w:pPr>
              <w:pStyle w:val="tabletext"/>
            </w:pPr>
            <w:r>
              <w:t>July 2005</w:t>
            </w:r>
          </w:p>
        </w:tc>
        <w:tc>
          <w:tcPr>
            <w:tcW w:w="2463" w:type="dxa"/>
            <w:tcBorders>
              <w:top w:val="nil"/>
              <w:left w:val="nil"/>
              <w:bottom w:val="single" w:sz="6" w:space="0" w:color="C0C0C0"/>
              <w:right w:val="nil"/>
              <w:tl2br w:val="nil"/>
              <w:tr2bl w:val="nil"/>
            </w:tcBorders>
            <w:shd w:val="clear" w:color="auto" w:fill="auto"/>
            <w:vAlign w:val="bottom"/>
          </w:tcPr>
          <w:p w:rsidR="003562D9" w:rsidRPr="00F60F60" w:rsidRDefault="003562D9" w:rsidP="007A0EC4">
            <w:pPr>
              <w:pStyle w:val="tabletext"/>
              <w:rPr>
                <w:szCs w:val="20"/>
              </w:rPr>
            </w:pPr>
            <w:r w:rsidRPr="00F60F60">
              <w:rPr>
                <w:szCs w:val="20"/>
              </w:rPr>
              <w:t>7.32</w:t>
            </w:r>
          </w:p>
        </w:tc>
        <w:tc>
          <w:tcPr>
            <w:tcW w:w="2402" w:type="dxa"/>
            <w:tcBorders>
              <w:top w:val="nil"/>
              <w:left w:val="nil"/>
              <w:bottom w:val="single" w:sz="6" w:space="0" w:color="C0C0C0"/>
              <w:right w:val="single" w:sz="12" w:space="0" w:color="0D2B88"/>
              <w:tl2br w:val="nil"/>
              <w:tr2bl w:val="nil"/>
            </w:tcBorders>
            <w:shd w:val="clear" w:color="auto" w:fill="auto"/>
            <w:vAlign w:val="bottom"/>
          </w:tcPr>
          <w:p w:rsidR="003562D9" w:rsidRPr="00F60F60" w:rsidRDefault="003562D9" w:rsidP="007A0EC4">
            <w:pPr>
              <w:pStyle w:val="tabletext"/>
              <w:rPr>
                <w:szCs w:val="20"/>
              </w:rPr>
            </w:pPr>
            <w:r w:rsidRPr="00F60F60">
              <w:rPr>
                <w:szCs w:val="20"/>
              </w:rPr>
              <w:t>5.49</w:t>
            </w:r>
          </w:p>
        </w:tc>
      </w:tr>
      <w:tr w:rsidR="003562D9" w:rsidTr="00F60F60">
        <w:trPr>
          <w:cantSplit/>
          <w:jc w:val="center"/>
        </w:trPr>
        <w:tc>
          <w:tcPr>
            <w:tcW w:w="2533" w:type="dxa"/>
            <w:tcBorders>
              <w:top w:val="nil"/>
              <w:left w:val="single" w:sz="12" w:space="0" w:color="0D2B88"/>
              <w:bottom w:val="single" w:sz="6" w:space="0" w:color="C0C0C0"/>
              <w:right w:val="nil"/>
              <w:tl2br w:val="nil"/>
              <w:tr2bl w:val="nil"/>
            </w:tcBorders>
            <w:shd w:val="clear" w:color="auto" w:fill="auto"/>
            <w:vAlign w:val="bottom"/>
          </w:tcPr>
          <w:p w:rsidR="003562D9" w:rsidRDefault="003562D9" w:rsidP="007A0EC4">
            <w:pPr>
              <w:pStyle w:val="tabletext"/>
            </w:pPr>
            <w:r>
              <w:t>August 2005</w:t>
            </w:r>
          </w:p>
        </w:tc>
        <w:tc>
          <w:tcPr>
            <w:tcW w:w="2463" w:type="dxa"/>
            <w:tcBorders>
              <w:top w:val="nil"/>
              <w:left w:val="nil"/>
              <w:bottom w:val="single" w:sz="6" w:space="0" w:color="C0C0C0"/>
              <w:right w:val="nil"/>
              <w:tl2br w:val="nil"/>
              <w:tr2bl w:val="nil"/>
            </w:tcBorders>
            <w:shd w:val="clear" w:color="auto" w:fill="auto"/>
            <w:vAlign w:val="bottom"/>
          </w:tcPr>
          <w:p w:rsidR="003562D9" w:rsidRPr="00F60F60" w:rsidRDefault="003562D9" w:rsidP="007A0EC4">
            <w:pPr>
              <w:pStyle w:val="tabletext"/>
              <w:rPr>
                <w:szCs w:val="20"/>
              </w:rPr>
            </w:pPr>
            <w:r w:rsidRPr="00F60F60">
              <w:rPr>
                <w:szCs w:val="20"/>
              </w:rPr>
              <w:t>6.02</w:t>
            </w:r>
          </w:p>
        </w:tc>
        <w:tc>
          <w:tcPr>
            <w:tcW w:w="2402" w:type="dxa"/>
            <w:tcBorders>
              <w:top w:val="nil"/>
              <w:left w:val="nil"/>
              <w:bottom w:val="single" w:sz="6" w:space="0" w:color="C0C0C0"/>
              <w:right w:val="single" w:sz="12" w:space="0" w:color="0D2B88"/>
              <w:tl2br w:val="nil"/>
              <w:tr2bl w:val="nil"/>
            </w:tcBorders>
            <w:shd w:val="clear" w:color="auto" w:fill="auto"/>
            <w:vAlign w:val="bottom"/>
          </w:tcPr>
          <w:p w:rsidR="003562D9" w:rsidRPr="00F60F60" w:rsidRDefault="003562D9" w:rsidP="007A0EC4">
            <w:pPr>
              <w:pStyle w:val="tabletext"/>
              <w:rPr>
                <w:szCs w:val="20"/>
              </w:rPr>
            </w:pPr>
            <w:r w:rsidRPr="00F60F60">
              <w:rPr>
                <w:szCs w:val="20"/>
              </w:rPr>
              <w:t>4.52</w:t>
            </w:r>
          </w:p>
        </w:tc>
      </w:tr>
      <w:tr w:rsidR="003562D9" w:rsidTr="00F60F60">
        <w:trPr>
          <w:cantSplit/>
          <w:jc w:val="center"/>
        </w:trPr>
        <w:tc>
          <w:tcPr>
            <w:tcW w:w="2533" w:type="dxa"/>
            <w:tcBorders>
              <w:top w:val="nil"/>
              <w:left w:val="single" w:sz="12" w:space="0" w:color="0D2B88"/>
              <w:bottom w:val="single" w:sz="6" w:space="0" w:color="C0C0C0"/>
              <w:right w:val="nil"/>
              <w:tl2br w:val="nil"/>
              <w:tr2bl w:val="nil"/>
            </w:tcBorders>
            <w:shd w:val="clear" w:color="auto" w:fill="auto"/>
            <w:vAlign w:val="bottom"/>
          </w:tcPr>
          <w:p w:rsidR="003562D9" w:rsidRDefault="003562D9" w:rsidP="007A0EC4">
            <w:pPr>
              <w:pStyle w:val="tabletext"/>
            </w:pPr>
            <w:r>
              <w:t>September 2005</w:t>
            </w:r>
          </w:p>
        </w:tc>
        <w:tc>
          <w:tcPr>
            <w:tcW w:w="2463" w:type="dxa"/>
            <w:tcBorders>
              <w:top w:val="nil"/>
              <w:left w:val="nil"/>
              <w:bottom w:val="single" w:sz="6" w:space="0" w:color="C0C0C0"/>
              <w:right w:val="nil"/>
              <w:tl2br w:val="nil"/>
              <w:tr2bl w:val="nil"/>
            </w:tcBorders>
            <w:shd w:val="clear" w:color="auto" w:fill="auto"/>
            <w:vAlign w:val="bottom"/>
          </w:tcPr>
          <w:p w:rsidR="003562D9" w:rsidRPr="00F60F60" w:rsidRDefault="003562D9" w:rsidP="007A0EC4">
            <w:pPr>
              <w:pStyle w:val="tabletext"/>
              <w:rPr>
                <w:szCs w:val="20"/>
              </w:rPr>
            </w:pPr>
            <w:r w:rsidRPr="00F60F60">
              <w:rPr>
                <w:szCs w:val="20"/>
              </w:rPr>
              <w:t>5.00</w:t>
            </w:r>
          </w:p>
        </w:tc>
        <w:tc>
          <w:tcPr>
            <w:tcW w:w="2402" w:type="dxa"/>
            <w:tcBorders>
              <w:top w:val="nil"/>
              <w:left w:val="nil"/>
              <w:bottom w:val="single" w:sz="6" w:space="0" w:color="C0C0C0"/>
              <w:right w:val="single" w:sz="12" w:space="0" w:color="0D2B88"/>
              <w:tl2br w:val="nil"/>
              <w:tr2bl w:val="nil"/>
            </w:tcBorders>
            <w:shd w:val="clear" w:color="auto" w:fill="auto"/>
            <w:vAlign w:val="bottom"/>
          </w:tcPr>
          <w:p w:rsidR="003562D9" w:rsidRPr="00F60F60" w:rsidRDefault="003562D9" w:rsidP="007A0EC4">
            <w:pPr>
              <w:pStyle w:val="tabletext"/>
              <w:rPr>
                <w:szCs w:val="20"/>
              </w:rPr>
            </w:pPr>
            <w:r w:rsidRPr="00F60F60">
              <w:rPr>
                <w:szCs w:val="20"/>
              </w:rPr>
              <w:t>3.75</w:t>
            </w:r>
          </w:p>
        </w:tc>
      </w:tr>
      <w:tr w:rsidR="007A0EC4" w:rsidTr="00F60F60">
        <w:trPr>
          <w:cantSplit/>
          <w:jc w:val="center"/>
        </w:trPr>
        <w:tc>
          <w:tcPr>
            <w:tcW w:w="2533" w:type="dxa"/>
            <w:tcBorders>
              <w:top w:val="nil"/>
              <w:left w:val="single" w:sz="12" w:space="0" w:color="0D2B88"/>
              <w:bottom w:val="single" w:sz="6" w:space="0" w:color="C0C0C0"/>
              <w:right w:val="nil"/>
              <w:tl2br w:val="nil"/>
              <w:tr2bl w:val="nil"/>
            </w:tcBorders>
            <w:shd w:val="clear" w:color="auto" w:fill="auto"/>
            <w:vAlign w:val="bottom"/>
          </w:tcPr>
          <w:p w:rsidR="007A0EC4" w:rsidRDefault="007A0EC4" w:rsidP="007A0EC4">
            <w:pPr>
              <w:pStyle w:val="tabletext"/>
            </w:pPr>
            <w:r>
              <w:t>October 2005</w:t>
            </w:r>
          </w:p>
        </w:tc>
        <w:tc>
          <w:tcPr>
            <w:tcW w:w="2463" w:type="dxa"/>
            <w:tcBorders>
              <w:top w:val="nil"/>
              <w:left w:val="nil"/>
              <w:bottom w:val="single" w:sz="6" w:space="0" w:color="C0C0C0"/>
              <w:right w:val="nil"/>
              <w:tl2br w:val="nil"/>
              <w:tr2bl w:val="nil"/>
            </w:tcBorders>
            <w:shd w:val="clear" w:color="auto" w:fill="auto"/>
            <w:vAlign w:val="bottom"/>
          </w:tcPr>
          <w:p w:rsidR="007A0EC4" w:rsidRPr="00F60F60" w:rsidRDefault="007A0EC4" w:rsidP="007A0EC4">
            <w:pPr>
              <w:pStyle w:val="tabletext"/>
              <w:rPr>
                <w:szCs w:val="20"/>
              </w:rPr>
            </w:pPr>
            <w:r w:rsidRPr="00F60F60">
              <w:rPr>
                <w:szCs w:val="20"/>
              </w:rPr>
              <w:t>4.37</w:t>
            </w:r>
          </w:p>
        </w:tc>
        <w:tc>
          <w:tcPr>
            <w:tcW w:w="2402" w:type="dxa"/>
            <w:tcBorders>
              <w:top w:val="nil"/>
              <w:left w:val="nil"/>
              <w:bottom w:val="single" w:sz="6" w:space="0" w:color="C0C0C0"/>
              <w:right w:val="single" w:sz="12" w:space="0" w:color="0D2B88"/>
              <w:tl2br w:val="nil"/>
              <w:tr2bl w:val="nil"/>
            </w:tcBorders>
            <w:shd w:val="clear" w:color="auto" w:fill="auto"/>
            <w:vAlign w:val="bottom"/>
          </w:tcPr>
          <w:p w:rsidR="007A0EC4" w:rsidRPr="00F60F60" w:rsidRDefault="007A0EC4" w:rsidP="007A0EC4">
            <w:pPr>
              <w:pStyle w:val="tabletext"/>
              <w:rPr>
                <w:szCs w:val="20"/>
              </w:rPr>
            </w:pPr>
            <w:r w:rsidRPr="00F60F60">
              <w:rPr>
                <w:szCs w:val="20"/>
              </w:rPr>
              <w:t>3.28</w:t>
            </w:r>
          </w:p>
        </w:tc>
      </w:tr>
      <w:tr w:rsidR="007A0EC4" w:rsidTr="00F60F60">
        <w:trPr>
          <w:cantSplit/>
          <w:jc w:val="center"/>
        </w:trPr>
        <w:tc>
          <w:tcPr>
            <w:tcW w:w="2533" w:type="dxa"/>
            <w:tcBorders>
              <w:top w:val="nil"/>
              <w:left w:val="single" w:sz="12" w:space="0" w:color="0D2B88"/>
              <w:bottom w:val="single" w:sz="6" w:space="0" w:color="C0C0C0"/>
              <w:right w:val="nil"/>
              <w:tl2br w:val="nil"/>
              <w:tr2bl w:val="nil"/>
            </w:tcBorders>
            <w:shd w:val="clear" w:color="auto" w:fill="auto"/>
            <w:vAlign w:val="bottom"/>
          </w:tcPr>
          <w:p w:rsidR="007A0EC4" w:rsidRDefault="007A0EC4" w:rsidP="007A0EC4">
            <w:pPr>
              <w:pStyle w:val="tabletext"/>
            </w:pPr>
            <w:r>
              <w:t>November 2005</w:t>
            </w:r>
          </w:p>
        </w:tc>
        <w:tc>
          <w:tcPr>
            <w:tcW w:w="2463" w:type="dxa"/>
            <w:tcBorders>
              <w:top w:val="nil"/>
              <w:left w:val="nil"/>
              <w:bottom w:val="single" w:sz="6" w:space="0" w:color="C0C0C0"/>
              <w:right w:val="nil"/>
              <w:tl2br w:val="nil"/>
              <w:tr2bl w:val="nil"/>
            </w:tcBorders>
            <w:shd w:val="clear" w:color="auto" w:fill="auto"/>
            <w:vAlign w:val="bottom"/>
          </w:tcPr>
          <w:p w:rsidR="007A0EC4" w:rsidRPr="00F60F60" w:rsidRDefault="007A0EC4" w:rsidP="007A0EC4">
            <w:pPr>
              <w:pStyle w:val="tabletext"/>
              <w:rPr>
                <w:szCs w:val="20"/>
              </w:rPr>
            </w:pPr>
            <w:r w:rsidRPr="00F60F60">
              <w:rPr>
                <w:szCs w:val="20"/>
              </w:rPr>
              <w:t>2.76</w:t>
            </w:r>
          </w:p>
        </w:tc>
        <w:tc>
          <w:tcPr>
            <w:tcW w:w="2402" w:type="dxa"/>
            <w:tcBorders>
              <w:top w:val="nil"/>
              <w:left w:val="nil"/>
              <w:bottom w:val="single" w:sz="6" w:space="0" w:color="C0C0C0"/>
              <w:right w:val="single" w:sz="12" w:space="0" w:color="0D2B88"/>
              <w:tl2br w:val="nil"/>
              <w:tr2bl w:val="nil"/>
            </w:tcBorders>
            <w:shd w:val="clear" w:color="auto" w:fill="auto"/>
            <w:vAlign w:val="bottom"/>
          </w:tcPr>
          <w:p w:rsidR="007A0EC4" w:rsidRPr="00F60F60" w:rsidRDefault="007A0EC4" w:rsidP="007A0EC4">
            <w:pPr>
              <w:pStyle w:val="tabletext"/>
              <w:rPr>
                <w:szCs w:val="20"/>
              </w:rPr>
            </w:pPr>
            <w:r w:rsidRPr="00F60F60">
              <w:rPr>
                <w:szCs w:val="20"/>
              </w:rPr>
              <w:t>2.07</w:t>
            </w:r>
          </w:p>
        </w:tc>
      </w:tr>
      <w:tr w:rsidR="007A0EC4" w:rsidTr="00F60F60">
        <w:trPr>
          <w:cantSplit/>
          <w:jc w:val="center"/>
        </w:trPr>
        <w:tc>
          <w:tcPr>
            <w:tcW w:w="2533" w:type="dxa"/>
            <w:tcBorders>
              <w:top w:val="nil"/>
              <w:left w:val="single" w:sz="12" w:space="0" w:color="0D2B88"/>
              <w:bottom w:val="single" w:sz="6" w:space="0" w:color="C0C0C0"/>
              <w:right w:val="nil"/>
              <w:tl2br w:val="nil"/>
              <w:tr2bl w:val="nil"/>
            </w:tcBorders>
            <w:shd w:val="clear" w:color="auto" w:fill="auto"/>
            <w:vAlign w:val="bottom"/>
          </w:tcPr>
          <w:p w:rsidR="007A0EC4" w:rsidRDefault="007A0EC4" w:rsidP="007A0EC4">
            <w:pPr>
              <w:pStyle w:val="tabletext"/>
            </w:pPr>
            <w:r>
              <w:t>December 2005</w:t>
            </w:r>
          </w:p>
        </w:tc>
        <w:tc>
          <w:tcPr>
            <w:tcW w:w="2463" w:type="dxa"/>
            <w:tcBorders>
              <w:top w:val="nil"/>
              <w:left w:val="nil"/>
              <w:bottom w:val="single" w:sz="6" w:space="0" w:color="C0C0C0"/>
              <w:right w:val="nil"/>
              <w:tl2br w:val="nil"/>
              <w:tr2bl w:val="nil"/>
            </w:tcBorders>
            <w:shd w:val="clear" w:color="auto" w:fill="auto"/>
            <w:vAlign w:val="bottom"/>
          </w:tcPr>
          <w:p w:rsidR="007A0EC4" w:rsidRPr="00F60F60" w:rsidRDefault="007A0EC4" w:rsidP="007A0EC4">
            <w:pPr>
              <w:pStyle w:val="tabletext"/>
              <w:rPr>
                <w:szCs w:val="20"/>
              </w:rPr>
            </w:pPr>
            <w:r w:rsidRPr="00F60F60">
              <w:rPr>
                <w:szCs w:val="20"/>
              </w:rPr>
              <w:t>1.89</w:t>
            </w:r>
          </w:p>
        </w:tc>
        <w:tc>
          <w:tcPr>
            <w:tcW w:w="2402" w:type="dxa"/>
            <w:tcBorders>
              <w:top w:val="nil"/>
              <w:left w:val="nil"/>
              <w:bottom w:val="single" w:sz="6" w:space="0" w:color="C0C0C0"/>
              <w:right w:val="single" w:sz="12" w:space="0" w:color="0D2B88"/>
              <w:tl2br w:val="nil"/>
              <w:tr2bl w:val="nil"/>
            </w:tcBorders>
            <w:shd w:val="clear" w:color="auto" w:fill="auto"/>
            <w:vAlign w:val="bottom"/>
          </w:tcPr>
          <w:p w:rsidR="007A0EC4" w:rsidRPr="00F60F60" w:rsidRDefault="007A0EC4" w:rsidP="007A0EC4">
            <w:pPr>
              <w:pStyle w:val="tabletext"/>
              <w:rPr>
                <w:szCs w:val="20"/>
              </w:rPr>
            </w:pPr>
            <w:r w:rsidRPr="00F60F60">
              <w:rPr>
                <w:szCs w:val="20"/>
              </w:rPr>
              <w:t>1.42</w:t>
            </w:r>
          </w:p>
        </w:tc>
      </w:tr>
      <w:tr w:rsidR="007A0EC4" w:rsidTr="00F60F60">
        <w:trPr>
          <w:cantSplit/>
          <w:jc w:val="center"/>
        </w:trPr>
        <w:tc>
          <w:tcPr>
            <w:tcW w:w="2533" w:type="dxa"/>
            <w:tcBorders>
              <w:top w:val="nil"/>
              <w:left w:val="single" w:sz="12" w:space="0" w:color="0D2B88"/>
              <w:bottom w:val="single" w:sz="12" w:space="0" w:color="0D2B88"/>
              <w:right w:val="nil"/>
              <w:tl2br w:val="nil"/>
              <w:tr2bl w:val="nil"/>
            </w:tcBorders>
            <w:shd w:val="clear" w:color="auto" w:fill="auto"/>
            <w:vAlign w:val="bottom"/>
          </w:tcPr>
          <w:p w:rsidR="007A0EC4" w:rsidRPr="00F60F60" w:rsidRDefault="007A0EC4" w:rsidP="007A0EC4">
            <w:pPr>
              <w:pStyle w:val="tabletext"/>
              <w:rPr>
                <w:b/>
                <w:bCs/>
              </w:rPr>
            </w:pPr>
            <w:r w:rsidRPr="00F60F60">
              <w:rPr>
                <w:b/>
                <w:bCs/>
              </w:rPr>
              <w:t>Total</w:t>
            </w:r>
          </w:p>
        </w:tc>
        <w:tc>
          <w:tcPr>
            <w:tcW w:w="2463" w:type="dxa"/>
            <w:tcBorders>
              <w:top w:val="nil"/>
              <w:left w:val="nil"/>
              <w:bottom w:val="single" w:sz="12" w:space="0" w:color="0D2B88"/>
              <w:right w:val="nil"/>
              <w:tl2br w:val="nil"/>
              <w:tr2bl w:val="nil"/>
            </w:tcBorders>
            <w:shd w:val="clear" w:color="auto" w:fill="auto"/>
            <w:vAlign w:val="bottom"/>
          </w:tcPr>
          <w:p w:rsidR="007A0EC4" w:rsidRPr="00F60F60" w:rsidRDefault="007A0EC4" w:rsidP="007A0EC4">
            <w:pPr>
              <w:pStyle w:val="tabletext"/>
              <w:rPr>
                <w:b/>
                <w:bCs/>
                <w:szCs w:val="20"/>
              </w:rPr>
            </w:pPr>
            <w:r w:rsidRPr="00F60F60">
              <w:rPr>
                <w:b/>
                <w:bCs/>
                <w:szCs w:val="20"/>
              </w:rPr>
              <w:t>51.77</w:t>
            </w:r>
          </w:p>
        </w:tc>
        <w:tc>
          <w:tcPr>
            <w:tcW w:w="2402" w:type="dxa"/>
            <w:tcBorders>
              <w:top w:val="nil"/>
              <w:left w:val="nil"/>
              <w:bottom w:val="single" w:sz="12" w:space="0" w:color="0D2B88"/>
              <w:right w:val="single" w:sz="12" w:space="0" w:color="0D2B88"/>
              <w:tl2br w:val="nil"/>
              <w:tr2bl w:val="nil"/>
            </w:tcBorders>
            <w:shd w:val="clear" w:color="auto" w:fill="auto"/>
            <w:vAlign w:val="bottom"/>
          </w:tcPr>
          <w:p w:rsidR="007A0EC4" w:rsidRPr="00F60F60" w:rsidRDefault="007A0EC4" w:rsidP="007A0EC4">
            <w:pPr>
              <w:pStyle w:val="tabletext"/>
              <w:rPr>
                <w:b/>
                <w:bCs/>
                <w:szCs w:val="20"/>
              </w:rPr>
            </w:pPr>
            <w:r w:rsidRPr="00F60F60">
              <w:rPr>
                <w:b/>
                <w:bCs/>
                <w:szCs w:val="20"/>
              </w:rPr>
              <w:t>38.83</w:t>
            </w:r>
          </w:p>
        </w:tc>
      </w:tr>
    </w:tbl>
    <w:p w:rsidR="00FD6D71" w:rsidRDefault="006308B4" w:rsidP="006308B4">
      <w:pPr>
        <w:pStyle w:val="BodyText"/>
        <w:ind w:left="1350"/>
        <w:rPr>
          <w:sz w:val="18"/>
          <w:szCs w:val="18"/>
        </w:rPr>
      </w:pPr>
      <w:r>
        <w:rPr>
          <w:sz w:val="18"/>
          <w:szCs w:val="18"/>
        </w:rPr>
        <w:t>*</w:t>
      </w:r>
      <w:r w:rsidR="00FD6D71" w:rsidRPr="00FD6D71">
        <w:rPr>
          <w:sz w:val="18"/>
          <w:szCs w:val="18"/>
        </w:rPr>
        <w:t>Source: DWR Bulletin 73-79 for the Hollister Costa Station</w:t>
      </w:r>
    </w:p>
    <w:p w:rsidR="00107DD2" w:rsidRDefault="00107DD2" w:rsidP="00107DD2">
      <w:pPr>
        <w:pStyle w:val="Heading2"/>
      </w:pPr>
      <w:bookmarkStart w:id="16" w:name="_Toc125348631"/>
      <w:r>
        <w:t>Water Balance Summary</w:t>
      </w:r>
      <w:bookmarkEnd w:id="16"/>
    </w:p>
    <w:p w:rsidR="00815B59" w:rsidRDefault="00815B59" w:rsidP="00107DD2">
      <w:pPr>
        <w:pStyle w:val="BodyText"/>
      </w:pPr>
      <w:r w:rsidRPr="00CB7545">
        <w:t xml:space="preserve">The purpose of the water balance </w:t>
      </w:r>
      <w:r w:rsidR="00CE39D5" w:rsidRPr="00CB7545">
        <w:t xml:space="preserve">analysis </w:t>
      </w:r>
      <w:r w:rsidRPr="00CB7545">
        <w:t xml:space="preserve">was </w:t>
      </w:r>
      <w:r w:rsidR="002D0D86" w:rsidRPr="00CB7545">
        <w:t>to</w:t>
      </w:r>
      <w:r w:rsidRPr="00CB7545">
        <w:t xml:space="preserve"> </w:t>
      </w:r>
      <w:r w:rsidR="002D0D86" w:rsidRPr="00CB7545">
        <w:t>identify</w:t>
      </w:r>
      <w:r w:rsidR="007A0EC4" w:rsidRPr="00CB7545">
        <w:t xml:space="preserve"> the </w:t>
      </w:r>
      <w:r w:rsidR="00AB248D">
        <w:t>2019</w:t>
      </w:r>
      <w:r w:rsidR="00433622">
        <w:t xml:space="preserve"> disposal balance and</w:t>
      </w:r>
      <w:r w:rsidR="002D0D86" w:rsidRPr="00CB7545">
        <w:t xml:space="preserve"> assess</w:t>
      </w:r>
      <w:r w:rsidR="00437E5B">
        <w:t xml:space="preserve"> the disposal capacity of the</w:t>
      </w:r>
      <w:r w:rsidRPr="00CB7545">
        <w:t xml:space="preserve"> facilities.  </w:t>
      </w:r>
      <w:r w:rsidR="00543B6D" w:rsidRPr="00CB7545">
        <w:fldChar w:fldCharType="begin"/>
      </w:r>
      <w:r w:rsidR="00543B6D" w:rsidRPr="00CB7545">
        <w:instrText xml:space="preserve"> REF _Ref118168497 \h </w:instrText>
      </w:r>
      <w:r w:rsidR="00CB7545">
        <w:instrText xml:space="preserve"> \* MERGEFORMAT </w:instrText>
      </w:r>
      <w:r w:rsidR="00543B6D" w:rsidRPr="00CB7545">
        <w:fldChar w:fldCharType="separate"/>
      </w:r>
      <w:r w:rsidR="0009663A">
        <w:t xml:space="preserve">Table </w:t>
      </w:r>
      <w:r w:rsidR="0009663A">
        <w:rPr>
          <w:noProof/>
        </w:rPr>
        <w:t>3</w:t>
      </w:r>
      <w:r w:rsidR="0009663A">
        <w:rPr>
          <w:noProof/>
        </w:rPr>
        <w:noBreakHyphen/>
      </w:r>
      <w:r w:rsidR="00543B6D" w:rsidRPr="00CB7545">
        <w:fldChar w:fldCharType="end"/>
      </w:r>
      <w:r w:rsidR="00437E5B">
        <w:t>5</w:t>
      </w:r>
      <w:r w:rsidR="00543B6D" w:rsidRPr="00CB7545">
        <w:t xml:space="preserve"> summarizes the </w:t>
      </w:r>
      <w:r w:rsidR="00484A31" w:rsidRPr="00CB7545">
        <w:t xml:space="preserve">actual </w:t>
      </w:r>
      <w:r w:rsidR="00543B6D" w:rsidRPr="00CB7545">
        <w:t>influent and disposal qu</w:t>
      </w:r>
      <w:r w:rsidR="00437E5B">
        <w:t xml:space="preserve">antities for </w:t>
      </w:r>
      <w:r w:rsidR="00AB248D">
        <w:t>Ridgemark WWTP in 2019</w:t>
      </w:r>
      <w:r w:rsidR="00433622">
        <w:t>.</w:t>
      </w:r>
    </w:p>
    <w:p w:rsidR="00815B59" w:rsidRDefault="00815B59" w:rsidP="00815B59">
      <w:pPr>
        <w:pStyle w:val="Caption"/>
        <w:keepNext/>
      </w:pPr>
      <w:bookmarkStart w:id="17" w:name="_Ref118168497"/>
      <w:r>
        <w:t xml:space="preserve">Table </w:t>
      </w:r>
      <w:r w:rsidR="00C04A85">
        <w:rPr>
          <w:noProof/>
        </w:rPr>
        <w:fldChar w:fldCharType="begin"/>
      </w:r>
      <w:r w:rsidR="00C04A85">
        <w:rPr>
          <w:noProof/>
        </w:rPr>
        <w:instrText xml:space="preserve"> STYLEREF 1 \s </w:instrText>
      </w:r>
      <w:r w:rsidR="00C04A85">
        <w:rPr>
          <w:noProof/>
        </w:rPr>
        <w:fldChar w:fldCharType="separate"/>
      </w:r>
      <w:r w:rsidR="0009663A">
        <w:rPr>
          <w:noProof/>
        </w:rPr>
        <w:t>3</w:t>
      </w:r>
      <w:r w:rsidR="00C04A85">
        <w:rPr>
          <w:noProof/>
        </w:rPr>
        <w:fldChar w:fldCharType="end"/>
      </w:r>
      <w:r w:rsidR="00FF01CC">
        <w:noBreakHyphen/>
      </w:r>
      <w:bookmarkEnd w:id="17"/>
      <w:r w:rsidR="00437E5B">
        <w:t>5</w:t>
      </w:r>
      <w:r w:rsidR="007A0EC4">
        <w:t xml:space="preserve">: </w:t>
      </w:r>
      <w:r w:rsidR="00557984">
        <w:t>201</w:t>
      </w:r>
      <w:r w:rsidR="002E51AD">
        <w:t>9</w:t>
      </w:r>
      <w:r>
        <w:t xml:space="preserve"> </w:t>
      </w:r>
      <w:r w:rsidR="002D0D86">
        <w:t>Water Balance</w:t>
      </w:r>
      <w:r>
        <w:t xml:space="preserve"> Summary</w:t>
      </w:r>
    </w:p>
    <w:tbl>
      <w:tblPr>
        <w:tblW w:w="0" w:type="auto"/>
        <w:jc w:val="center"/>
        <w:tblBorders>
          <w:top w:val="single" w:sz="12" w:space="0" w:color="0D2B88"/>
          <w:left w:val="single" w:sz="12" w:space="0" w:color="0D2B88"/>
          <w:bottom w:val="single" w:sz="12" w:space="0" w:color="0D2B88"/>
          <w:right w:val="single" w:sz="12" w:space="0" w:color="0D2B88"/>
        </w:tblBorders>
        <w:tblLook w:val="01E0" w:firstRow="1" w:lastRow="1" w:firstColumn="1" w:lastColumn="1" w:noHBand="0" w:noVBand="0"/>
      </w:tblPr>
      <w:tblGrid>
        <w:gridCol w:w="1875"/>
        <w:gridCol w:w="1480"/>
        <w:gridCol w:w="1980"/>
        <w:gridCol w:w="3060"/>
      </w:tblGrid>
      <w:tr w:rsidR="00433622" w:rsidRPr="002C2595" w:rsidTr="00AB248D">
        <w:trPr>
          <w:cantSplit/>
          <w:jc w:val="center"/>
        </w:trPr>
        <w:tc>
          <w:tcPr>
            <w:tcW w:w="1875" w:type="dxa"/>
            <w:shd w:val="clear" w:color="auto" w:fill="0D2B88"/>
            <w:vAlign w:val="bottom"/>
          </w:tcPr>
          <w:p w:rsidR="00433622" w:rsidRPr="002C2595" w:rsidRDefault="00AB248D" w:rsidP="009D131F">
            <w:pPr>
              <w:pStyle w:val="tabletext"/>
              <w:rPr>
                <w:rFonts w:ascii="Times New Roman" w:hAnsi="Times New Roman"/>
                <w:b/>
                <w:color w:val="FFFFFF"/>
              </w:rPr>
            </w:pPr>
            <w:r>
              <w:rPr>
                <w:rFonts w:ascii="Times New Roman" w:hAnsi="Times New Roman"/>
                <w:b/>
                <w:color w:val="FFFFFF"/>
              </w:rPr>
              <w:t>Site</w:t>
            </w:r>
          </w:p>
        </w:tc>
        <w:tc>
          <w:tcPr>
            <w:tcW w:w="1480" w:type="dxa"/>
            <w:shd w:val="clear" w:color="auto" w:fill="0D2B88"/>
            <w:vAlign w:val="bottom"/>
          </w:tcPr>
          <w:p w:rsidR="00433622" w:rsidRPr="002C2595" w:rsidRDefault="00433622" w:rsidP="00433622">
            <w:pPr>
              <w:pStyle w:val="tabletext"/>
              <w:rPr>
                <w:rFonts w:ascii="Times New Roman" w:hAnsi="Times New Roman"/>
                <w:b/>
                <w:color w:val="FFFFFF"/>
              </w:rPr>
            </w:pPr>
            <w:r w:rsidRPr="002C2595">
              <w:rPr>
                <w:rFonts w:ascii="Times New Roman" w:hAnsi="Times New Roman"/>
                <w:b/>
                <w:color w:val="FFFFFF"/>
              </w:rPr>
              <w:t xml:space="preserve">Total Influent Raw WW </w:t>
            </w:r>
            <w:proofErr w:type="gramStart"/>
            <w:r w:rsidRPr="002C2595">
              <w:rPr>
                <w:rFonts w:ascii="Times New Roman" w:hAnsi="Times New Roman"/>
                <w:b/>
                <w:color w:val="FFFFFF"/>
              </w:rPr>
              <w:t>Flow</w:t>
            </w:r>
            <w:r>
              <w:rPr>
                <w:rFonts w:ascii="Times New Roman" w:hAnsi="Times New Roman"/>
                <w:b/>
                <w:color w:val="FFFFFF"/>
              </w:rPr>
              <w:t xml:space="preserve">  </w:t>
            </w:r>
            <w:r w:rsidRPr="002C2595">
              <w:rPr>
                <w:rFonts w:ascii="Times New Roman" w:hAnsi="Times New Roman"/>
                <w:b/>
                <w:color w:val="FFFFFF"/>
              </w:rPr>
              <w:t>(</w:t>
            </w:r>
            <w:proofErr w:type="gramEnd"/>
            <w:r w:rsidRPr="002C2595">
              <w:rPr>
                <w:rFonts w:ascii="Times New Roman" w:hAnsi="Times New Roman"/>
                <w:b/>
                <w:color w:val="FFFFFF"/>
              </w:rPr>
              <w:t>AF)</w:t>
            </w:r>
          </w:p>
        </w:tc>
        <w:tc>
          <w:tcPr>
            <w:tcW w:w="1980" w:type="dxa"/>
            <w:shd w:val="clear" w:color="auto" w:fill="0D2B88"/>
            <w:vAlign w:val="bottom"/>
          </w:tcPr>
          <w:p w:rsidR="00433622" w:rsidRPr="002C2595" w:rsidRDefault="00433622" w:rsidP="00433622">
            <w:pPr>
              <w:pStyle w:val="tabletext"/>
              <w:rPr>
                <w:rFonts w:ascii="Times New Roman" w:hAnsi="Times New Roman"/>
                <w:b/>
                <w:color w:val="FFFFFF"/>
              </w:rPr>
            </w:pPr>
            <w:r w:rsidRPr="002C2595">
              <w:rPr>
                <w:rFonts w:ascii="Times New Roman" w:hAnsi="Times New Roman"/>
                <w:b/>
                <w:color w:val="FFFFFF"/>
              </w:rPr>
              <w:t xml:space="preserve">Net </w:t>
            </w:r>
            <w:proofErr w:type="gramStart"/>
            <w:r w:rsidRPr="002C2595">
              <w:rPr>
                <w:rFonts w:ascii="Times New Roman" w:hAnsi="Times New Roman"/>
                <w:b/>
                <w:color w:val="FFFFFF"/>
              </w:rPr>
              <w:t>Evaporation</w:t>
            </w:r>
            <w:r>
              <w:rPr>
                <w:rFonts w:ascii="Times New Roman" w:hAnsi="Times New Roman"/>
                <w:b/>
                <w:color w:val="FFFFFF"/>
              </w:rPr>
              <w:t xml:space="preserve">  </w:t>
            </w:r>
            <w:r w:rsidRPr="002C2595">
              <w:rPr>
                <w:rFonts w:ascii="Times New Roman" w:hAnsi="Times New Roman"/>
                <w:b/>
                <w:color w:val="FFFFFF"/>
              </w:rPr>
              <w:t>(</w:t>
            </w:r>
            <w:proofErr w:type="gramEnd"/>
            <w:r w:rsidRPr="002C2595">
              <w:rPr>
                <w:rFonts w:ascii="Times New Roman" w:hAnsi="Times New Roman"/>
                <w:b/>
                <w:color w:val="FFFFFF"/>
              </w:rPr>
              <w:t>AF)</w:t>
            </w:r>
          </w:p>
        </w:tc>
        <w:tc>
          <w:tcPr>
            <w:tcW w:w="3060" w:type="dxa"/>
            <w:tcBorders>
              <w:bottom w:val="nil"/>
            </w:tcBorders>
            <w:shd w:val="clear" w:color="auto" w:fill="0D2B88"/>
            <w:vAlign w:val="bottom"/>
          </w:tcPr>
          <w:p w:rsidR="00433622" w:rsidRPr="002C2595" w:rsidRDefault="00433622" w:rsidP="00433622">
            <w:pPr>
              <w:pStyle w:val="tabletext"/>
              <w:rPr>
                <w:rFonts w:ascii="Times New Roman" w:hAnsi="Times New Roman"/>
                <w:b/>
                <w:color w:val="FFFFFF"/>
              </w:rPr>
            </w:pPr>
            <w:r w:rsidRPr="002C2595">
              <w:rPr>
                <w:rFonts w:ascii="Times New Roman" w:hAnsi="Times New Roman"/>
                <w:b/>
                <w:color w:val="FFFFFF"/>
              </w:rPr>
              <w:t xml:space="preserve">Treated WW </w:t>
            </w:r>
            <w:proofErr w:type="gramStart"/>
            <w:r w:rsidRPr="002C2595">
              <w:rPr>
                <w:rFonts w:ascii="Times New Roman" w:hAnsi="Times New Roman"/>
                <w:b/>
                <w:color w:val="FFFFFF"/>
              </w:rPr>
              <w:t>Effluent  Pond</w:t>
            </w:r>
            <w:proofErr w:type="gramEnd"/>
            <w:r w:rsidRPr="002C2595">
              <w:rPr>
                <w:rFonts w:ascii="Times New Roman" w:hAnsi="Times New Roman"/>
                <w:b/>
                <w:color w:val="FFFFFF"/>
              </w:rPr>
              <w:t xml:space="preserve"> Percolation</w:t>
            </w:r>
            <w:r>
              <w:rPr>
                <w:rFonts w:ascii="Times New Roman" w:hAnsi="Times New Roman"/>
                <w:b/>
                <w:color w:val="FFFFFF"/>
              </w:rPr>
              <w:t xml:space="preserve"> </w:t>
            </w:r>
            <w:r w:rsidRPr="002C2595">
              <w:rPr>
                <w:rFonts w:ascii="Times New Roman" w:hAnsi="Times New Roman"/>
                <w:b/>
                <w:color w:val="FFFFFF"/>
              </w:rPr>
              <w:t xml:space="preserve"> (AF)</w:t>
            </w:r>
          </w:p>
        </w:tc>
      </w:tr>
      <w:tr w:rsidR="00433622" w:rsidRPr="00CB7545" w:rsidTr="00AB248D">
        <w:trPr>
          <w:cantSplit/>
          <w:jc w:val="center"/>
        </w:trPr>
        <w:tc>
          <w:tcPr>
            <w:tcW w:w="1875" w:type="dxa"/>
            <w:tcBorders>
              <w:top w:val="nil"/>
              <w:left w:val="single" w:sz="12" w:space="0" w:color="0D2B88"/>
              <w:bottom w:val="nil"/>
              <w:right w:val="nil"/>
              <w:tl2br w:val="nil"/>
              <w:tr2bl w:val="nil"/>
            </w:tcBorders>
            <w:vAlign w:val="bottom"/>
          </w:tcPr>
          <w:p w:rsidR="00433622" w:rsidRPr="00CB7545" w:rsidRDefault="00AB248D" w:rsidP="009D131F">
            <w:pPr>
              <w:pStyle w:val="tabletext"/>
              <w:rPr>
                <w:rFonts w:ascii="Times New Roman" w:hAnsi="Times New Roman"/>
              </w:rPr>
            </w:pPr>
            <w:r>
              <w:rPr>
                <w:rFonts w:ascii="Times New Roman" w:hAnsi="Times New Roman"/>
              </w:rPr>
              <w:t>Ridgemark WWTP</w:t>
            </w:r>
          </w:p>
        </w:tc>
        <w:tc>
          <w:tcPr>
            <w:tcW w:w="1480" w:type="dxa"/>
            <w:tcBorders>
              <w:top w:val="nil"/>
              <w:left w:val="nil"/>
              <w:bottom w:val="nil"/>
              <w:right w:val="nil"/>
              <w:tl2br w:val="nil"/>
              <w:tr2bl w:val="nil"/>
            </w:tcBorders>
            <w:vAlign w:val="bottom"/>
          </w:tcPr>
          <w:p w:rsidR="00433622" w:rsidRPr="00CB7545" w:rsidRDefault="00664353" w:rsidP="009D131F">
            <w:pPr>
              <w:pStyle w:val="tabletext"/>
              <w:rPr>
                <w:rFonts w:ascii="Times New Roman" w:hAnsi="Times New Roman"/>
                <w:szCs w:val="20"/>
              </w:rPr>
            </w:pPr>
            <w:r>
              <w:rPr>
                <w:rFonts w:ascii="Times New Roman" w:hAnsi="Times New Roman"/>
                <w:szCs w:val="20"/>
              </w:rPr>
              <w:t>168.67</w:t>
            </w:r>
          </w:p>
        </w:tc>
        <w:tc>
          <w:tcPr>
            <w:tcW w:w="1980" w:type="dxa"/>
            <w:tcBorders>
              <w:top w:val="nil"/>
              <w:left w:val="nil"/>
              <w:bottom w:val="nil"/>
              <w:right w:val="nil"/>
              <w:tl2br w:val="nil"/>
              <w:tr2bl w:val="nil"/>
            </w:tcBorders>
            <w:vAlign w:val="bottom"/>
          </w:tcPr>
          <w:p w:rsidR="00433622" w:rsidRPr="00CB7545" w:rsidRDefault="00664353" w:rsidP="00433622">
            <w:pPr>
              <w:pStyle w:val="tabletext"/>
              <w:rPr>
                <w:rFonts w:ascii="Times New Roman" w:hAnsi="Times New Roman"/>
                <w:szCs w:val="20"/>
              </w:rPr>
            </w:pPr>
            <w:r>
              <w:rPr>
                <w:rFonts w:ascii="Times New Roman" w:hAnsi="Times New Roman"/>
                <w:szCs w:val="20"/>
              </w:rPr>
              <w:t>-0.81</w:t>
            </w:r>
          </w:p>
        </w:tc>
        <w:tc>
          <w:tcPr>
            <w:tcW w:w="3060" w:type="dxa"/>
            <w:tcBorders>
              <w:top w:val="nil"/>
              <w:left w:val="nil"/>
              <w:bottom w:val="nil"/>
              <w:right w:val="single" w:sz="12" w:space="0" w:color="0D2B88"/>
              <w:tl2br w:val="nil"/>
              <w:tr2bl w:val="nil"/>
            </w:tcBorders>
            <w:shd w:val="clear" w:color="auto" w:fill="FFFFFF"/>
            <w:vAlign w:val="bottom"/>
          </w:tcPr>
          <w:p w:rsidR="00433622" w:rsidRPr="00CB7545" w:rsidRDefault="00664353" w:rsidP="009D131F">
            <w:pPr>
              <w:pStyle w:val="tabletext"/>
              <w:rPr>
                <w:rFonts w:ascii="Times New Roman" w:hAnsi="Times New Roman"/>
                <w:szCs w:val="20"/>
              </w:rPr>
            </w:pPr>
            <w:r>
              <w:rPr>
                <w:rFonts w:ascii="Times New Roman" w:hAnsi="Times New Roman"/>
                <w:szCs w:val="20"/>
              </w:rPr>
              <w:t>167.86</w:t>
            </w:r>
          </w:p>
        </w:tc>
      </w:tr>
      <w:tr w:rsidR="00327CE2" w:rsidRPr="00CB7545" w:rsidTr="00AB248D">
        <w:trPr>
          <w:cantSplit/>
          <w:jc w:val="center"/>
        </w:trPr>
        <w:tc>
          <w:tcPr>
            <w:tcW w:w="1875" w:type="dxa"/>
            <w:tcBorders>
              <w:top w:val="nil"/>
              <w:left w:val="single" w:sz="12" w:space="0" w:color="0D2B88"/>
              <w:bottom w:val="single" w:sz="6" w:space="0" w:color="C0C0C0"/>
              <w:right w:val="nil"/>
              <w:tl2br w:val="nil"/>
              <w:tr2bl w:val="nil"/>
            </w:tcBorders>
            <w:vAlign w:val="bottom"/>
          </w:tcPr>
          <w:p w:rsidR="00327CE2" w:rsidRPr="00CB7545" w:rsidRDefault="00327CE2" w:rsidP="009D131F">
            <w:pPr>
              <w:pStyle w:val="tabletext"/>
              <w:rPr>
                <w:rFonts w:ascii="Times New Roman" w:hAnsi="Times New Roman"/>
              </w:rPr>
            </w:pPr>
            <w:r>
              <w:rPr>
                <w:rFonts w:ascii="Times New Roman" w:hAnsi="Times New Roman"/>
              </w:rPr>
              <w:t>RM II</w:t>
            </w:r>
          </w:p>
        </w:tc>
        <w:tc>
          <w:tcPr>
            <w:tcW w:w="1480" w:type="dxa"/>
            <w:tcBorders>
              <w:top w:val="nil"/>
              <w:left w:val="nil"/>
              <w:bottom w:val="single" w:sz="6" w:space="0" w:color="C0C0C0"/>
              <w:right w:val="nil"/>
              <w:tl2br w:val="nil"/>
              <w:tr2bl w:val="nil"/>
            </w:tcBorders>
            <w:vAlign w:val="bottom"/>
          </w:tcPr>
          <w:p w:rsidR="00327CE2" w:rsidRDefault="00AB248D" w:rsidP="009D131F">
            <w:pPr>
              <w:pStyle w:val="tabletext"/>
              <w:rPr>
                <w:rFonts w:ascii="Times New Roman" w:hAnsi="Times New Roman"/>
                <w:szCs w:val="20"/>
              </w:rPr>
            </w:pPr>
            <w:r>
              <w:rPr>
                <w:rFonts w:ascii="Times New Roman" w:hAnsi="Times New Roman"/>
                <w:szCs w:val="20"/>
              </w:rPr>
              <w:t>N/A</w:t>
            </w:r>
          </w:p>
        </w:tc>
        <w:tc>
          <w:tcPr>
            <w:tcW w:w="1980" w:type="dxa"/>
            <w:tcBorders>
              <w:top w:val="nil"/>
              <w:left w:val="nil"/>
              <w:bottom w:val="single" w:sz="6" w:space="0" w:color="C0C0C0"/>
              <w:right w:val="nil"/>
              <w:tl2br w:val="nil"/>
              <w:tr2bl w:val="nil"/>
            </w:tcBorders>
            <w:vAlign w:val="bottom"/>
          </w:tcPr>
          <w:p w:rsidR="00327CE2" w:rsidRDefault="00327CE2" w:rsidP="00433622">
            <w:pPr>
              <w:pStyle w:val="tabletext"/>
              <w:rPr>
                <w:rFonts w:ascii="Times New Roman" w:hAnsi="Times New Roman"/>
                <w:szCs w:val="20"/>
              </w:rPr>
            </w:pPr>
            <w:r>
              <w:rPr>
                <w:rFonts w:ascii="Times New Roman" w:hAnsi="Times New Roman"/>
                <w:szCs w:val="20"/>
              </w:rPr>
              <w:t>N/A</w:t>
            </w:r>
          </w:p>
        </w:tc>
        <w:tc>
          <w:tcPr>
            <w:tcW w:w="3060" w:type="dxa"/>
            <w:tcBorders>
              <w:top w:val="nil"/>
              <w:left w:val="nil"/>
              <w:bottom w:val="single" w:sz="6" w:space="0" w:color="C0C0C0"/>
              <w:right w:val="single" w:sz="12" w:space="0" w:color="0D2B88"/>
              <w:tl2br w:val="nil"/>
              <w:tr2bl w:val="nil"/>
            </w:tcBorders>
            <w:shd w:val="clear" w:color="auto" w:fill="FFFFFF"/>
            <w:vAlign w:val="bottom"/>
          </w:tcPr>
          <w:p w:rsidR="00327CE2" w:rsidRDefault="00AB248D" w:rsidP="009D131F">
            <w:pPr>
              <w:pStyle w:val="tabletext"/>
              <w:rPr>
                <w:rFonts w:ascii="Times New Roman" w:hAnsi="Times New Roman"/>
                <w:szCs w:val="20"/>
              </w:rPr>
            </w:pPr>
            <w:r>
              <w:rPr>
                <w:rFonts w:ascii="Times New Roman" w:hAnsi="Times New Roman"/>
                <w:szCs w:val="20"/>
              </w:rPr>
              <w:t>N/A</w:t>
            </w:r>
          </w:p>
        </w:tc>
      </w:tr>
    </w:tbl>
    <w:p w:rsidR="00B63507" w:rsidRDefault="00433622" w:rsidP="008D069C">
      <w:pPr>
        <w:pStyle w:val="BodyText"/>
        <w:spacing w:before="120"/>
      </w:pPr>
      <w:r>
        <w:t xml:space="preserve">Using </w:t>
      </w:r>
      <w:r w:rsidR="006308B4">
        <w:t xml:space="preserve">the pond information from Table 3-3, the total </w:t>
      </w:r>
      <w:r w:rsidR="00B63507">
        <w:t xml:space="preserve">disposal capacity </w:t>
      </w:r>
      <w:r w:rsidR="006308B4">
        <w:t xml:space="preserve">at </w:t>
      </w:r>
      <w:r w:rsidR="00AB248D">
        <w:t>Ridgemark WWTP</w:t>
      </w:r>
      <w:r w:rsidR="006308B4">
        <w:t xml:space="preserve"> </w:t>
      </w:r>
      <w:r w:rsidR="00B63507">
        <w:t xml:space="preserve">was </w:t>
      </w:r>
      <w:r w:rsidR="006308B4">
        <w:t>1002</w:t>
      </w:r>
      <w:r w:rsidR="00B63507">
        <w:t xml:space="preserve"> AF</w:t>
      </w:r>
      <w:r w:rsidR="00F01F2E">
        <w:t xml:space="preserve"> per year</w:t>
      </w:r>
      <w:r w:rsidR="00B63507">
        <w:t xml:space="preserve">.  The District will </w:t>
      </w:r>
      <w:r w:rsidR="006308B4">
        <w:t>continue to measure</w:t>
      </w:r>
      <w:r w:rsidR="00B63507">
        <w:t xml:space="preserve"> and obs</w:t>
      </w:r>
      <w:r w:rsidR="006308B4">
        <w:t>erve</w:t>
      </w:r>
      <w:r w:rsidR="00E6294C">
        <w:t xml:space="preserve"> percolation rates in </w:t>
      </w:r>
      <w:r w:rsidR="00AB248D">
        <w:t>2020</w:t>
      </w:r>
      <w:r w:rsidR="00B63507">
        <w:t xml:space="preserve"> to further refine the est</w:t>
      </w:r>
      <w:r w:rsidR="006308B4">
        <w:t>imated percolation rates</w:t>
      </w:r>
      <w:r w:rsidR="008C27EC">
        <w:t>.</w:t>
      </w:r>
      <w:r w:rsidR="00EB5625">
        <w:t xml:space="preserve">  The District has observed </w:t>
      </w:r>
      <w:r w:rsidR="00664353">
        <w:t>substantially</w:t>
      </w:r>
      <w:r w:rsidR="00EB5625">
        <w:t xml:space="preserve"> </w:t>
      </w:r>
      <w:r w:rsidR="00664353">
        <w:t>higher</w:t>
      </w:r>
      <w:r w:rsidR="00EB5625">
        <w:t xml:space="preserve"> percolation rates </w:t>
      </w:r>
      <w:r w:rsidR="006308B4">
        <w:t xml:space="preserve">in Ponds 4 and 5 </w:t>
      </w:r>
      <w:r w:rsidR="00EB5625">
        <w:t>since the completion of the S</w:t>
      </w:r>
      <w:r w:rsidR="006308B4">
        <w:t xml:space="preserve">equential </w:t>
      </w:r>
      <w:r w:rsidR="00EB5625">
        <w:t>B</w:t>
      </w:r>
      <w:r w:rsidR="006308B4">
        <w:t xml:space="preserve">atch </w:t>
      </w:r>
      <w:r w:rsidR="00EB5625">
        <w:t>R</w:t>
      </w:r>
      <w:r w:rsidR="006308B4">
        <w:t>eactor</w:t>
      </w:r>
      <w:r w:rsidR="00EB5625">
        <w:t xml:space="preserve"> Treatment Plant and with </w:t>
      </w:r>
      <w:r w:rsidR="00AB248D">
        <w:t>regular</w:t>
      </w:r>
      <w:r w:rsidR="006308B4">
        <w:t xml:space="preserve"> </w:t>
      </w:r>
      <w:r w:rsidR="00AB248D">
        <w:t>ripping of the ponds. This</w:t>
      </w:r>
      <w:r w:rsidR="006308B4">
        <w:t xml:space="preserve"> has likely also significantly increased percolation rates in Ponds 3 and 6</w:t>
      </w:r>
      <w:r w:rsidR="00AB248D">
        <w:t>, but these ponds have not yet been utilized since the completion of the treatment plant</w:t>
      </w:r>
      <w:r w:rsidR="006308B4">
        <w:t>.</w:t>
      </w:r>
    </w:p>
    <w:p w:rsidR="00AC6370" w:rsidRDefault="00327CE2" w:rsidP="008D069C">
      <w:pPr>
        <w:pStyle w:val="BodyText"/>
      </w:pPr>
      <w:r w:rsidRPr="00784E44">
        <w:t>In the third quarter 2013, the RM II facility was decommissioned from a wastewater treatment and disposal facility in conjunction with Long-Term Wastewater Management Plan improvements.</w:t>
      </w:r>
      <w:r>
        <w:t xml:space="preserve"> </w:t>
      </w:r>
      <w:r w:rsidR="00FF01CC" w:rsidRPr="00784E44">
        <w:t>T</w:t>
      </w:r>
      <w:r w:rsidR="006308B4">
        <w:t xml:space="preserve">he </w:t>
      </w:r>
      <w:r w:rsidR="009A48CB">
        <w:t xml:space="preserve">total </w:t>
      </w:r>
      <w:r w:rsidR="006308B4">
        <w:t>d</w:t>
      </w:r>
      <w:r w:rsidR="00DE127C" w:rsidRPr="00784E44">
        <w:t>isposal capacity</w:t>
      </w:r>
      <w:r w:rsidR="008436A2" w:rsidRPr="00784E44">
        <w:t xml:space="preserve"> </w:t>
      </w:r>
      <w:r w:rsidR="006308B4">
        <w:t xml:space="preserve">for the RM II facility </w:t>
      </w:r>
      <w:r w:rsidR="008436A2" w:rsidRPr="00784E44">
        <w:t>is calculated at</w:t>
      </w:r>
      <w:r w:rsidR="00DE127C" w:rsidRPr="00784E44">
        <w:t xml:space="preserve"> </w:t>
      </w:r>
      <w:r>
        <w:t>98.8</w:t>
      </w:r>
      <w:r w:rsidR="00DE127C" w:rsidRPr="00784E44">
        <w:t xml:space="preserve"> AFY</w:t>
      </w:r>
      <w:r>
        <w:t xml:space="preserve"> based on the </w:t>
      </w:r>
      <w:r w:rsidR="009A48CB">
        <w:t>RM II Pond 3 and 4</w:t>
      </w:r>
      <w:r w:rsidR="00FF01CC" w:rsidRPr="00784E44">
        <w:t xml:space="preserve"> percolation </w:t>
      </w:r>
      <w:proofErr w:type="gramStart"/>
      <w:r w:rsidR="00FF01CC" w:rsidRPr="00784E44">
        <w:t>rate</w:t>
      </w:r>
      <w:proofErr w:type="gramEnd"/>
      <w:r w:rsidR="00FF01CC" w:rsidRPr="00784E44">
        <w:t xml:space="preserve"> of 1.37 in/day and 38.8</w:t>
      </w:r>
      <w:r w:rsidR="009A2917">
        <w:t>3</w:t>
      </w:r>
      <w:r w:rsidR="00FF01CC" w:rsidRPr="00784E44">
        <w:t xml:space="preserve"> inches of evaporation</w:t>
      </w:r>
      <w:r w:rsidR="00DE127C" w:rsidRPr="00784E44">
        <w:t>.</w:t>
      </w:r>
      <w:r w:rsidR="00B94912" w:rsidRPr="00784E44">
        <w:t xml:space="preserve"> </w:t>
      </w:r>
      <w:r w:rsidR="00780338" w:rsidRPr="00784E44">
        <w:t xml:space="preserve"> </w:t>
      </w:r>
      <w:r w:rsidR="00C27C10">
        <w:t>Treatment Pond 1 at the Ridgemark II facility w</w:t>
      </w:r>
      <w:r w:rsidR="00870351">
        <w:t>as converted to a Ridgemark II l</w:t>
      </w:r>
      <w:r w:rsidR="00C27C10">
        <w:t>ift</w:t>
      </w:r>
      <w:r w:rsidR="00870351">
        <w:t xml:space="preserve"> </w:t>
      </w:r>
      <w:r w:rsidR="00C27C10">
        <w:t>station emergency overflow holding pond.</w:t>
      </w:r>
    </w:p>
    <w:p w:rsidR="000F538B" w:rsidRDefault="003562D9" w:rsidP="00410E91">
      <w:pPr>
        <w:pStyle w:val="Heading1"/>
        <w:tabs>
          <w:tab w:val="clear" w:pos="720"/>
          <w:tab w:val="left" w:pos="0"/>
        </w:tabs>
      </w:pPr>
      <w:bookmarkStart w:id="18" w:name="_Toc125348632"/>
      <w:r>
        <w:lastRenderedPageBreak/>
        <w:t>Treatment Process Performance</w:t>
      </w:r>
      <w:bookmarkEnd w:id="18"/>
    </w:p>
    <w:p w:rsidR="00A7003B" w:rsidRDefault="00971862" w:rsidP="00327CE2">
      <w:pPr>
        <w:pStyle w:val="BodyText"/>
      </w:pPr>
      <w:r>
        <w:t>Table 4-1</w:t>
      </w:r>
      <w:r w:rsidR="000F538B">
        <w:t xml:space="preserve"> </w:t>
      </w:r>
      <w:r w:rsidR="00645E20">
        <w:t>summarizes the</w:t>
      </w:r>
      <w:r w:rsidR="00F61205">
        <w:t xml:space="preserve"> average </w:t>
      </w:r>
      <w:r w:rsidR="00645E20">
        <w:t xml:space="preserve">influent and effluent water quality at the </w:t>
      </w:r>
      <w:r w:rsidR="00F920A0">
        <w:t>Ridgemark WWTP</w:t>
      </w:r>
      <w:r w:rsidR="00645E20">
        <w:t xml:space="preserve"> </w:t>
      </w:r>
      <w:r w:rsidR="00C27C10">
        <w:t>facility</w:t>
      </w:r>
      <w:r w:rsidR="00FD2FBB">
        <w:t xml:space="preserve"> and summarizes WDR water quality regulations that </w:t>
      </w:r>
      <w:r w:rsidR="00C27C10">
        <w:t>are in effect since</w:t>
      </w:r>
      <w:r w:rsidR="00FD2FBB">
        <w:t xml:space="preserve"> 2010</w:t>
      </w:r>
      <w:r w:rsidR="00645E20">
        <w:t>.</w:t>
      </w:r>
      <w:r w:rsidR="00CE39D5">
        <w:t xml:space="preserve"> </w:t>
      </w:r>
      <w:r w:rsidR="00D0535E">
        <w:t xml:space="preserve"> </w:t>
      </w:r>
      <w:r w:rsidR="00F920A0">
        <w:t>Ridgemark WWTP</w:t>
      </w:r>
      <w:r w:rsidR="00FF01CC">
        <w:t xml:space="preserve"> </w:t>
      </w:r>
      <w:r w:rsidR="004057C0">
        <w:t xml:space="preserve">treatment process </w:t>
      </w:r>
      <w:r w:rsidR="00F920A0">
        <w:t xml:space="preserve">and effluent water quality </w:t>
      </w:r>
      <w:r w:rsidR="00FF01CC">
        <w:t>are</w:t>
      </w:r>
      <w:r w:rsidR="00C630A7">
        <w:t xml:space="preserve"> meeting </w:t>
      </w:r>
      <w:r w:rsidR="009A48CB">
        <w:t xml:space="preserve">all </w:t>
      </w:r>
      <w:r w:rsidR="00F920A0">
        <w:t xml:space="preserve">permit </w:t>
      </w:r>
      <w:r w:rsidR="009A48CB">
        <w:t xml:space="preserve">requirements </w:t>
      </w:r>
      <w:proofErr w:type="gramStart"/>
      <w:r w:rsidR="009A48CB">
        <w:t>with the exception of</w:t>
      </w:r>
      <w:proofErr w:type="gramEnd"/>
      <w:r w:rsidR="009A48CB">
        <w:t xml:space="preserve"> Chlorides</w:t>
      </w:r>
      <w:r w:rsidR="00F920A0">
        <w:t xml:space="preserve">.  </w:t>
      </w:r>
    </w:p>
    <w:p w:rsidR="00AE5D35" w:rsidRDefault="00327CE2" w:rsidP="00AE5D35">
      <w:pPr>
        <w:pStyle w:val="Caption"/>
        <w:keepNext/>
      </w:pPr>
      <w:bookmarkStart w:id="19" w:name="_Toc116889565"/>
      <w:bookmarkStart w:id="20" w:name="_Ref112561422"/>
      <w:r>
        <w:t>T</w:t>
      </w:r>
      <w:r w:rsidR="00AE5D35">
        <w:t xml:space="preserve">able </w:t>
      </w:r>
      <w:r w:rsidR="00C04A85">
        <w:rPr>
          <w:noProof/>
        </w:rPr>
        <w:fldChar w:fldCharType="begin"/>
      </w:r>
      <w:r w:rsidR="00C04A85">
        <w:rPr>
          <w:noProof/>
        </w:rPr>
        <w:instrText xml:space="preserve"> STYLEREF 1 \s </w:instrText>
      </w:r>
      <w:r w:rsidR="00C04A85">
        <w:rPr>
          <w:noProof/>
        </w:rPr>
        <w:fldChar w:fldCharType="separate"/>
      </w:r>
      <w:r w:rsidR="0009663A">
        <w:rPr>
          <w:noProof/>
        </w:rPr>
        <w:t>4</w:t>
      </w:r>
      <w:r w:rsidR="00C04A85">
        <w:rPr>
          <w:noProof/>
        </w:rPr>
        <w:fldChar w:fldCharType="end"/>
      </w:r>
      <w:r w:rsidR="00AE5D35">
        <w:noBreakHyphen/>
      </w:r>
      <w:r w:rsidR="00C04A85">
        <w:rPr>
          <w:noProof/>
        </w:rPr>
        <w:fldChar w:fldCharType="begin"/>
      </w:r>
      <w:r w:rsidR="00C04A85">
        <w:rPr>
          <w:noProof/>
        </w:rPr>
        <w:instrText xml:space="preserve"> SEQ Table \* ARABIC \s 1 </w:instrText>
      </w:r>
      <w:r w:rsidR="00C04A85">
        <w:rPr>
          <w:noProof/>
        </w:rPr>
        <w:fldChar w:fldCharType="separate"/>
      </w:r>
      <w:r w:rsidR="0009663A">
        <w:rPr>
          <w:noProof/>
        </w:rPr>
        <w:t>1</w:t>
      </w:r>
      <w:r w:rsidR="00C04A85">
        <w:rPr>
          <w:noProof/>
        </w:rPr>
        <w:fldChar w:fldCharType="end"/>
      </w:r>
      <w:r w:rsidR="00AE5D35">
        <w:t xml:space="preserve">: </w:t>
      </w:r>
      <w:r w:rsidR="002E51AD">
        <w:t>2019</w:t>
      </w:r>
      <w:r w:rsidR="00F02181">
        <w:t xml:space="preserve"> </w:t>
      </w:r>
      <w:r w:rsidR="00582EFC">
        <w:t xml:space="preserve">Average </w:t>
      </w:r>
      <w:r w:rsidR="00AE5D35">
        <w:t>Influent and Eff</w:t>
      </w:r>
      <w:r w:rsidR="00D00C8B">
        <w:t>l</w:t>
      </w:r>
      <w:r w:rsidR="00AE5D35">
        <w:t>uent Water Quality</w:t>
      </w:r>
    </w:p>
    <w:tbl>
      <w:tblPr>
        <w:tblW w:w="9075" w:type="dxa"/>
        <w:tblLook w:val="04A0" w:firstRow="1" w:lastRow="0" w:firstColumn="1" w:lastColumn="0" w:noHBand="0" w:noVBand="1"/>
      </w:tblPr>
      <w:tblGrid>
        <w:gridCol w:w="2505"/>
        <w:gridCol w:w="1440"/>
        <w:gridCol w:w="1620"/>
        <w:gridCol w:w="1440"/>
        <w:gridCol w:w="2070"/>
      </w:tblGrid>
      <w:tr w:rsidR="00F920A0" w:rsidRPr="00F920A0" w:rsidTr="00F920A0">
        <w:trPr>
          <w:trHeight w:val="540"/>
        </w:trPr>
        <w:tc>
          <w:tcPr>
            <w:tcW w:w="2505" w:type="dxa"/>
            <w:tcBorders>
              <w:top w:val="single" w:sz="12" w:space="0" w:color="003366"/>
              <w:left w:val="single" w:sz="12" w:space="0" w:color="003366"/>
              <w:bottom w:val="nil"/>
              <w:right w:val="double" w:sz="6" w:space="0" w:color="333399"/>
            </w:tcBorders>
            <w:shd w:val="clear" w:color="000000" w:fill="003366"/>
            <w:vAlign w:val="bottom"/>
            <w:hideMark/>
          </w:tcPr>
          <w:bookmarkEnd w:id="19"/>
          <w:bookmarkEnd w:id="20"/>
          <w:p w:rsidR="00F920A0" w:rsidRPr="00F920A0" w:rsidRDefault="00F920A0" w:rsidP="00F920A0">
            <w:pPr>
              <w:jc w:val="center"/>
              <w:rPr>
                <w:rFonts w:cs="Arial"/>
                <w:b/>
                <w:bCs/>
                <w:color w:val="FFFFFF"/>
                <w:sz w:val="20"/>
                <w:szCs w:val="20"/>
              </w:rPr>
            </w:pPr>
            <w:r w:rsidRPr="00F920A0">
              <w:rPr>
                <w:rFonts w:cs="Arial"/>
                <w:b/>
                <w:bCs/>
                <w:color w:val="FFFFFF"/>
                <w:sz w:val="20"/>
                <w:szCs w:val="20"/>
              </w:rPr>
              <w:t>Existing Water Quality</w:t>
            </w:r>
          </w:p>
        </w:tc>
        <w:tc>
          <w:tcPr>
            <w:tcW w:w="1440" w:type="dxa"/>
            <w:vMerge w:val="restart"/>
            <w:tcBorders>
              <w:top w:val="single" w:sz="12" w:space="0" w:color="003366"/>
              <w:left w:val="double" w:sz="6" w:space="0" w:color="333399"/>
              <w:bottom w:val="nil"/>
              <w:right w:val="nil"/>
            </w:tcBorders>
            <w:shd w:val="clear" w:color="000000" w:fill="003366"/>
            <w:vAlign w:val="bottom"/>
            <w:hideMark/>
          </w:tcPr>
          <w:p w:rsidR="00F920A0" w:rsidRPr="00F920A0" w:rsidRDefault="00F920A0" w:rsidP="00F920A0">
            <w:pPr>
              <w:jc w:val="center"/>
              <w:rPr>
                <w:rFonts w:cs="Arial"/>
                <w:b/>
                <w:bCs/>
                <w:color w:val="FFFFFF"/>
                <w:sz w:val="20"/>
                <w:szCs w:val="20"/>
              </w:rPr>
            </w:pPr>
            <w:r w:rsidRPr="00F920A0">
              <w:rPr>
                <w:rFonts w:cs="Arial"/>
                <w:b/>
                <w:bCs/>
                <w:color w:val="FFFFFF"/>
                <w:sz w:val="20"/>
                <w:szCs w:val="20"/>
              </w:rPr>
              <w:t>RM I SBR Influent</w:t>
            </w:r>
          </w:p>
        </w:tc>
        <w:tc>
          <w:tcPr>
            <w:tcW w:w="1620" w:type="dxa"/>
            <w:vMerge w:val="restart"/>
            <w:tcBorders>
              <w:top w:val="single" w:sz="12" w:space="0" w:color="003366"/>
              <w:left w:val="nil"/>
              <w:bottom w:val="nil"/>
              <w:right w:val="double" w:sz="6" w:space="0" w:color="333399"/>
            </w:tcBorders>
            <w:shd w:val="clear" w:color="000000" w:fill="003366"/>
            <w:vAlign w:val="bottom"/>
            <w:hideMark/>
          </w:tcPr>
          <w:p w:rsidR="00F920A0" w:rsidRPr="00F920A0" w:rsidRDefault="00F920A0" w:rsidP="00F920A0">
            <w:pPr>
              <w:jc w:val="center"/>
              <w:rPr>
                <w:rFonts w:cs="Arial"/>
                <w:b/>
                <w:bCs/>
                <w:color w:val="FFFFFF"/>
                <w:sz w:val="20"/>
                <w:szCs w:val="20"/>
              </w:rPr>
            </w:pPr>
            <w:r w:rsidRPr="00F920A0">
              <w:rPr>
                <w:rFonts w:cs="Arial"/>
                <w:b/>
                <w:bCs/>
                <w:color w:val="FFFFFF"/>
                <w:sz w:val="20"/>
                <w:szCs w:val="20"/>
              </w:rPr>
              <w:t>RM I SBR Effluent</w:t>
            </w:r>
          </w:p>
        </w:tc>
        <w:tc>
          <w:tcPr>
            <w:tcW w:w="1440" w:type="dxa"/>
            <w:vMerge w:val="restart"/>
            <w:tcBorders>
              <w:top w:val="single" w:sz="12" w:space="0" w:color="003366"/>
              <w:left w:val="double" w:sz="6" w:space="0" w:color="333399"/>
              <w:bottom w:val="nil"/>
              <w:right w:val="nil"/>
            </w:tcBorders>
            <w:shd w:val="clear" w:color="000000" w:fill="003366"/>
            <w:vAlign w:val="bottom"/>
            <w:hideMark/>
          </w:tcPr>
          <w:p w:rsidR="00F920A0" w:rsidRPr="00F920A0" w:rsidRDefault="00F920A0" w:rsidP="00F920A0">
            <w:pPr>
              <w:jc w:val="center"/>
              <w:rPr>
                <w:rFonts w:cs="Arial"/>
                <w:b/>
                <w:bCs/>
                <w:color w:val="FFFFFF"/>
                <w:sz w:val="20"/>
                <w:szCs w:val="20"/>
              </w:rPr>
            </w:pPr>
            <w:r w:rsidRPr="00F920A0">
              <w:rPr>
                <w:rFonts w:cs="Arial"/>
                <w:b/>
                <w:bCs/>
                <w:color w:val="FFFFFF"/>
                <w:sz w:val="20"/>
                <w:szCs w:val="20"/>
              </w:rPr>
              <w:t>RM I % Removal</w:t>
            </w:r>
          </w:p>
        </w:tc>
        <w:tc>
          <w:tcPr>
            <w:tcW w:w="2070" w:type="dxa"/>
            <w:vMerge w:val="restart"/>
            <w:tcBorders>
              <w:top w:val="single" w:sz="12" w:space="0" w:color="003366"/>
              <w:left w:val="nil"/>
              <w:bottom w:val="nil"/>
              <w:right w:val="single" w:sz="12" w:space="0" w:color="003366"/>
            </w:tcBorders>
            <w:shd w:val="clear" w:color="000000" w:fill="003366"/>
            <w:vAlign w:val="bottom"/>
            <w:hideMark/>
          </w:tcPr>
          <w:p w:rsidR="00F920A0" w:rsidRPr="00F920A0" w:rsidRDefault="00F920A0" w:rsidP="00F920A0">
            <w:pPr>
              <w:jc w:val="center"/>
              <w:rPr>
                <w:rFonts w:cs="Arial"/>
                <w:b/>
                <w:bCs/>
                <w:color w:val="FFFFFF"/>
                <w:sz w:val="20"/>
                <w:szCs w:val="20"/>
              </w:rPr>
            </w:pPr>
            <w:r w:rsidRPr="00F920A0">
              <w:rPr>
                <w:rFonts w:cs="Arial"/>
                <w:b/>
                <w:bCs/>
                <w:color w:val="FFFFFF"/>
                <w:sz w:val="20"/>
                <w:szCs w:val="20"/>
              </w:rPr>
              <w:t>2010 Permit Requirement</w:t>
            </w:r>
          </w:p>
        </w:tc>
      </w:tr>
      <w:tr w:rsidR="00F920A0" w:rsidRPr="00F920A0" w:rsidTr="00F920A0">
        <w:trPr>
          <w:trHeight w:val="375"/>
        </w:trPr>
        <w:tc>
          <w:tcPr>
            <w:tcW w:w="2505" w:type="dxa"/>
            <w:tcBorders>
              <w:top w:val="nil"/>
              <w:left w:val="single" w:sz="12" w:space="0" w:color="003366"/>
              <w:bottom w:val="nil"/>
              <w:right w:val="double" w:sz="6" w:space="0" w:color="333399"/>
            </w:tcBorders>
            <w:shd w:val="clear" w:color="000000" w:fill="003366"/>
            <w:vAlign w:val="bottom"/>
            <w:hideMark/>
          </w:tcPr>
          <w:p w:rsidR="00F920A0" w:rsidRPr="00F920A0" w:rsidRDefault="00F920A0" w:rsidP="00F920A0">
            <w:pPr>
              <w:jc w:val="center"/>
              <w:rPr>
                <w:rFonts w:cs="Arial"/>
                <w:b/>
                <w:bCs/>
                <w:color w:val="FFFFFF"/>
                <w:sz w:val="20"/>
                <w:szCs w:val="20"/>
              </w:rPr>
            </w:pPr>
            <w:r w:rsidRPr="00F920A0">
              <w:rPr>
                <w:rFonts w:cs="Arial"/>
                <w:b/>
                <w:bCs/>
                <w:color w:val="FFFFFF"/>
                <w:sz w:val="20"/>
                <w:szCs w:val="20"/>
              </w:rPr>
              <w:t>Parameter</w:t>
            </w:r>
          </w:p>
        </w:tc>
        <w:tc>
          <w:tcPr>
            <w:tcW w:w="1440" w:type="dxa"/>
            <w:vMerge/>
            <w:tcBorders>
              <w:top w:val="single" w:sz="12" w:space="0" w:color="003366"/>
              <w:left w:val="double" w:sz="6" w:space="0" w:color="333399"/>
              <w:bottom w:val="nil"/>
              <w:right w:val="nil"/>
            </w:tcBorders>
            <w:vAlign w:val="center"/>
            <w:hideMark/>
          </w:tcPr>
          <w:p w:rsidR="00F920A0" w:rsidRPr="00F920A0" w:rsidRDefault="00F920A0" w:rsidP="00F920A0">
            <w:pPr>
              <w:rPr>
                <w:rFonts w:cs="Arial"/>
                <w:b/>
                <w:bCs/>
                <w:color w:val="FFFFFF"/>
                <w:sz w:val="20"/>
                <w:szCs w:val="20"/>
              </w:rPr>
            </w:pPr>
          </w:p>
        </w:tc>
        <w:tc>
          <w:tcPr>
            <w:tcW w:w="1620" w:type="dxa"/>
            <w:vMerge/>
            <w:tcBorders>
              <w:top w:val="single" w:sz="12" w:space="0" w:color="003366"/>
              <w:left w:val="nil"/>
              <w:bottom w:val="nil"/>
              <w:right w:val="double" w:sz="6" w:space="0" w:color="333399"/>
            </w:tcBorders>
            <w:vAlign w:val="center"/>
            <w:hideMark/>
          </w:tcPr>
          <w:p w:rsidR="00F920A0" w:rsidRPr="00F920A0" w:rsidRDefault="00F920A0" w:rsidP="00F920A0">
            <w:pPr>
              <w:rPr>
                <w:rFonts w:cs="Arial"/>
                <w:b/>
                <w:bCs/>
                <w:color w:val="FFFFFF"/>
                <w:sz w:val="20"/>
                <w:szCs w:val="20"/>
              </w:rPr>
            </w:pPr>
          </w:p>
        </w:tc>
        <w:tc>
          <w:tcPr>
            <w:tcW w:w="1440" w:type="dxa"/>
            <w:vMerge/>
            <w:tcBorders>
              <w:top w:val="single" w:sz="12" w:space="0" w:color="003366"/>
              <w:left w:val="double" w:sz="6" w:space="0" w:color="333399"/>
              <w:bottom w:val="nil"/>
              <w:right w:val="nil"/>
            </w:tcBorders>
            <w:vAlign w:val="center"/>
            <w:hideMark/>
          </w:tcPr>
          <w:p w:rsidR="00F920A0" w:rsidRPr="00F920A0" w:rsidRDefault="00F920A0" w:rsidP="00F920A0">
            <w:pPr>
              <w:rPr>
                <w:rFonts w:cs="Arial"/>
                <w:b/>
                <w:bCs/>
                <w:color w:val="FFFFFF"/>
                <w:sz w:val="20"/>
                <w:szCs w:val="20"/>
              </w:rPr>
            </w:pPr>
          </w:p>
        </w:tc>
        <w:tc>
          <w:tcPr>
            <w:tcW w:w="2070" w:type="dxa"/>
            <w:vMerge/>
            <w:tcBorders>
              <w:top w:val="single" w:sz="12" w:space="0" w:color="003366"/>
              <w:left w:val="nil"/>
              <w:bottom w:val="nil"/>
              <w:right w:val="single" w:sz="12" w:space="0" w:color="003366"/>
            </w:tcBorders>
            <w:vAlign w:val="center"/>
            <w:hideMark/>
          </w:tcPr>
          <w:p w:rsidR="00F920A0" w:rsidRPr="00F920A0" w:rsidRDefault="00F920A0" w:rsidP="00F920A0">
            <w:pPr>
              <w:rPr>
                <w:rFonts w:cs="Arial"/>
                <w:b/>
                <w:bCs/>
                <w:color w:val="FFFFFF"/>
                <w:sz w:val="20"/>
                <w:szCs w:val="20"/>
              </w:rPr>
            </w:pPr>
          </w:p>
        </w:tc>
      </w:tr>
      <w:tr w:rsidR="00F920A0" w:rsidRPr="00F920A0" w:rsidTr="00F920A0">
        <w:trPr>
          <w:trHeight w:val="390"/>
        </w:trPr>
        <w:tc>
          <w:tcPr>
            <w:tcW w:w="2505" w:type="dxa"/>
            <w:tcBorders>
              <w:top w:val="single" w:sz="12" w:space="0" w:color="003366"/>
              <w:left w:val="single" w:sz="12" w:space="0" w:color="003366"/>
              <w:bottom w:val="single" w:sz="8" w:space="0" w:color="C0C0C0"/>
              <w:right w:val="double" w:sz="6" w:space="0" w:color="333399"/>
            </w:tcBorders>
            <w:shd w:val="clear" w:color="auto" w:fill="auto"/>
            <w:vAlign w:val="bottom"/>
            <w:hideMark/>
          </w:tcPr>
          <w:p w:rsidR="00F920A0" w:rsidRPr="00F920A0" w:rsidRDefault="00F920A0" w:rsidP="00F920A0">
            <w:pPr>
              <w:spacing w:line="276" w:lineRule="auto"/>
              <w:rPr>
                <w:rFonts w:cs="Arial"/>
                <w:sz w:val="20"/>
                <w:szCs w:val="20"/>
              </w:rPr>
            </w:pPr>
            <w:r w:rsidRPr="00F920A0">
              <w:rPr>
                <w:rFonts w:cs="Arial"/>
                <w:sz w:val="20"/>
                <w:szCs w:val="20"/>
              </w:rPr>
              <w:t>TDS (mg/L)</w:t>
            </w:r>
          </w:p>
        </w:tc>
        <w:tc>
          <w:tcPr>
            <w:tcW w:w="1440" w:type="dxa"/>
            <w:tcBorders>
              <w:top w:val="single" w:sz="12" w:space="0" w:color="003366"/>
              <w:left w:val="nil"/>
              <w:bottom w:val="single" w:sz="8" w:space="0" w:color="C0C0C0"/>
              <w:right w:val="nil"/>
            </w:tcBorders>
            <w:shd w:val="clear" w:color="auto" w:fill="auto"/>
            <w:vAlign w:val="bottom"/>
            <w:hideMark/>
          </w:tcPr>
          <w:p w:rsidR="00F920A0" w:rsidRPr="00F920A0" w:rsidRDefault="00063CC6" w:rsidP="00F920A0">
            <w:pPr>
              <w:spacing w:line="276" w:lineRule="auto"/>
              <w:jc w:val="center"/>
              <w:rPr>
                <w:rFonts w:cs="Arial"/>
                <w:sz w:val="20"/>
                <w:szCs w:val="20"/>
              </w:rPr>
            </w:pPr>
            <w:r>
              <w:rPr>
                <w:rFonts w:cs="Arial"/>
                <w:sz w:val="20"/>
                <w:szCs w:val="20"/>
              </w:rPr>
              <w:t>745</w:t>
            </w:r>
          </w:p>
        </w:tc>
        <w:tc>
          <w:tcPr>
            <w:tcW w:w="1620" w:type="dxa"/>
            <w:tcBorders>
              <w:top w:val="single" w:sz="12" w:space="0" w:color="003366"/>
              <w:left w:val="nil"/>
              <w:bottom w:val="single" w:sz="8" w:space="0" w:color="C0C0C0"/>
              <w:right w:val="double" w:sz="6" w:space="0" w:color="333399"/>
            </w:tcBorders>
            <w:shd w:val="clear" w:color="auto" w:fill="auto"/>
            <w:vAlign w:val="bottom"/>
            <w:hideMark/>
          </w:tcPr>
          <w:p w:rsidR="00F920A0" w:rsidRPr="00F920A0" w:rsidRDefault="00063CC6" w:rsidP="00F920A0">
            <w:pPr>
              <w:spacing w:line="276" w:lineRule="auto"/>
              <w:jc w:val="center"/>
              <w:rPr>
                <w:rFonts w:cs="Arial"/>
                <w:sz w:val="20"/>
                <w:szCs w:val="20"/>
              </w:rPr>
            </w:pPr>
            <w:r>
              <w:rPr>
                <w:rFonts w:cs="Arial"/>
                <w:sz w:val="20"/>
                <w:szCs w:val="20"/>
              </w:rPr>
              <w:t>722</w:t>
            </w:r>
          </w:p>
        </w:tc>
        <w:tc>
          <w:tcPr>
            <w:tcW w:w="1440" w:type="dxa"/>
            <w:tcBorders>
              <w:top w:val="single" w:sz="12" w:space="0" w:color="003366"/>
              <w:left w:val="nil"/>
              <w:bottom w:val="single" w:sz="8" w:space="0" w:color="C0C0C0"/>
              <w:right w:val="nil"/>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-1.98%</w:t>
            </w:r>
          </w:p>
        </w:tc>
        <w:tc>
          <w:tcPr>
            <w:tcW w:w="2070" w:type="dxa"/>
            <w:tcBorders>
              <w:top w:val="single" w:sz="12" w:space="0" w:color="003366"/>
              <w:left w:val="nil"/>
              <w:bottom w:val="single" w:sz="8" w:space="0" w:color="C0C0C0"/>
              <w:right w:val="single" w:sz="12" w:space="0" w:color="003366"/>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1,200</w:t>
            </w:r>
          </w:p>
        </w:tc>
      </w:tr>
      <w:tr w:rsidR="00F920A0" w:rsidRPr="00F920A0" w:rsidTr="00F920A0">
        <w:trPr>
          <w:trHeight w:val="375"/>
        </w:trPr>
        <w:tc>
          <w:tcPr>
            <w:tcW w:w="2505" w:type="dxa"/>
            <w:tcBorders>
              <w:top w:val="nil"/>
              <w:left w:val="single" w:sz="12" w:space="0" w:color="003366"/>
              <w:bottom w:val="single" w:sz="8" w:space="0" w:color="C0C0C0"/>
              <w:right w:val="double" w:sz="6" w:space="0" w:color="333399"/>
            </w:tcBorders>
            <w:shd w:val="clear" w:color="auto" w:fill="auto"/>
            <w:vAlign w:val="bottom"/>
            <w:hideMark/>
          </w:tcPr>
          <w:p w:rsidR="00F920A0" w:rsidRPr="00F920A0" w:rsidRDefault="00F920A0" w:rsidP="00F920A0">
            <w:pPr>
              <w:spacing w:line="276" w:lineRule="auto"/>
              <w:rPr>
                <w:rFonts w:cs="Arial"/>
                <w:sz w:val="20"/>
                <w:szCs w:val="20"/>
              </w:rPr>
            </w:pPr>
            <w:r w:rsidRPr="00F920A0">
              <w:rPr>
                <w:rFonts w:cs="Arial"/>
                <w:sz w:val="20"/>
                <w:szCs w:val="20"/>
              </w:rPr>
              <w:t>Sodium (mg/L)</w:t>
            </w:r>
          </w:p>
        </w:tc>
        <w:tc>
          <w:tcPr>
            <w:tcW w:w="1440" w:type="dxa"/>
            <w:tcBorders>
              <w:top w:val="nil"/>
              <w:left w:val="nil"/>
              <w:bottom w:val="single" w:sz="8" w:space="0" w:color="C0C0C0"/>
              <w:right w:val="nil"/>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182</w:t>
            </w:r>
          </w:p>
        </w:tc>
        <w:tc>
          <w:tcPr>
            <w:tcW w:w="1620" w:type="dxa"/>
            <w:tcBorders>
              <w:top w:val="nil"/>
              <w:left w:val="nil"/>
              <w:bottom w:val="single" w:sz="8" w:space="0" w:color="C0C0C0"/>
              <w:right w:val="double" w:sz="6" w:space="0" w:color="333399"/>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191</w:t>
            </w:r>
          </w:p>
        </w:tc>
        <w:tc>
          <w:tcPr>
            <w:tcW w:w="1440" w:type="dxa"/>
            <w:tcBorders>
              <w:top w:val="nil"/>
              <w:left w:val="nil"/>
              <w:bottom w:val="single" w:sz="8" w:space="0" w:color="C0C0C0"/>
              <w:right w:val="nil"/>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-4.95%</w:t>
            </w:r>
          </w:p>
        </w:tc>
        <w:tc>
          <w:tcPr>
            <w:tcW w:w="2070" w:type="dxa"/>
            <w:tcBorders>
              <w:top w:val="nil"/>
              <w:left w:val="nil"/>
              <w:bottom w:val="single" w:sz="8" w:space="0" w:color="C0C0C0"/>
              <w:right w:val="single" w:sz="12" w:space="0" w:color="003366"/>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200</w:t>
            </w:r>
          </w:p>
        </w:tc>
      </w:tr>
      <w:tr w:rsidR="00F920A0" w:rsidRPr="00F920A0" w:rsidTr="00F920A0">
        <w:trPr>
          <w:trHeight w:val="375"/>
        </w:trPr>
        <w:tc>
          <w:tcPr>
            <w:tcW w:w="2505" w:type="dxa"/>
            <w:tcBorders>
              <w:top w:val="nil"/>
              <w:left w:val="single" w:sz="12" w:space="0" w:color="003366"/>
              <w:bottom w:val="single" w:sz="8" w:space="0" w:color="C0C0C0"/>
              <w:right w:val="double" w:sz="6" w:space="0" w:color="333399"/>
            </w:tcBorders>
            <w:shd w:val="clear" w:color="auto" w:fill="auto"/>
            <w:vAlign w:val="bottom"/>
            <w:hideMark/>
          </w:tcPr>
          <w:p w:rsidR="00F920A0" w:rsidRPr="00F920A0" w:rsidRDefault="00F920A0" w:rsidP="00F920A0">
            <w:pPr>
              <w:spacing w:line="276" w:lineRule="auto"/>
              <w:rPr>
                <w:rFonts w:cs="Arial"/>
                <w:sz w:val="20"/>
                <w:szCs w:val="20"/>
              </w:rPr>
            </w:pPr>
            <w:r w:rsidRPr="00F920A0">
              <w:rPr>
                <w:rFonts w:cs="Arial"/>
                <w:sz w:val="20"/>
                <w:szCs w:val="20"/>
              </w:rPr>
              <w:t>Chloride (mg/L)</w:t>
            </w:r>
          </w:p>
        </w:tc>
        <w:tc>
          <w:tcPr>
            <w:tcW w:w="1440" w:type="dxa"/>
            <w:tcBorders>
              <w:top w:val="nil"/>
              <w:left w:val="nil"/>
              <w:bottom w:val="single" w:sz="8" w:space="0" w:color="C0C0C0"/>
              <w:right w:val="nil"/>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256</w:t>
            </w:r>
          </w:p>
        </w:tc>
        <w:tc>
          <w:tcPr>
            <w:tcW w:w="1620" w:type="dxa"/>
            <w:tcBorders>
              <w:top w:val="nil"/>
              <w:left w:val="nil"/>
              <w:bottom w:val="single" w:sz="8" w:space="0" w:color="C0C0C0"/>
              <w:right w:val="double" w:sz="6" w:space="0" w:color="333399"/>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269</w:t>
            </w:r>
          </w:p>
        </w:tc>
        <w:tc>
          <w:tcPr>
            <w:tcW w:w="1440" w:type="dxa"/>
            <w:tcBorders>
              <w:top w:val="nil"/>
              <w:left w:val="nil"/>
              <w:bottom w:val="single" w:sz="8" w:space="0" w:color="C0C0C0"/>
              <w:right w:val="nil"/>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-5.08%</w:t>
            </w:r>
          </w:p>
        </w:tc>
        <w:tc>
          <w:tcPr>
            <w:tcW w:w="2070" w:type="dxa"/>
            <w:tcBorders>
              <w:top w:val="nil"/>
              <w:left w:val="nil"/>
              <w:bottom w:val="single" w:sz="8" w:space="0" w:color="C0C0C0"/>
              <w:right w:val="single" w:sz="12" w:space="0" w:color="003366"/>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200</w:t>
            </w:r>
          </w:p>
        </w:tc>
      </w:tr>
      <w:tr w:rsidR="00F920A0" w:rsidRPr="00F920A0" w:rsidTr="00F920A0">
        <w:trPr>
          <w:trHeight w:val="412"/>
        </w:trPr>
        <w:tc>
          <w:tcPr>
            <w:tcW w:w="2505" w:type="dxa"/>
            <w:tcBorders>
              <w:top w:val="nil"/>
              <w:left w:val="single" w:sz="12" w:space="0" w:color="003366"/>
              <w:bottom w:val="single" w:sz="8" w:space="0" w:color="C0C0C0"/>
              <w:right w:val="double" w:sz="6" w:space="0" w:color="333399"/>
            </w:tcBorders>
            <w:shd w:val="clear" w:color="auto" w:fill="auto"/>
            <w:vAlign w:val="bottom"/>
            <w:hideMark/>
          </w:tcPr>
          <w:p w:rsidR="00F920A0" w:rsidRPr="00F920A0" w:rsidRDefault="00F920A0" w:rsidP="00F920A0">
            <w:pPr>
              <w:spacing w:line="276" w:lineRule="auto"/>
              <w:rPr>
                <w:rFonts w:cs="Arial"/>
                <w:sz w:val="20"/>
                <w:szCs w:val="20"/>
              </w:rPr>
            </w:pPr>
            <w:r w:rsidRPr="00F920A0">
              <w:rPr>
                <w:rFonts w:cs="Arial"/>
                <w:sz w:val="20"/>
                <w:szCs w:val="20"/>
              </w:rPr>
              <w:t>Nitrate as N (mg/L)</w:t>
            </w:r>
          </w:p>
        </w:tc>
        <w:tc>
          <w:tcPr>
            <w:tcW w:w="1440" w:type="dxa"/>
            <w:tcBorders>
              <w:top w:val="nil"/>
              <w:left w:val="nil"/>
              <w:bottom w:val="single" w:sz="8" w:space="0" w:color="C0C0C0"/>
              <w:right w:val="nil"/>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NA</w:t>
            </w:r>
          </w:p>
        </w:tc>
        <w:tc>
          <w:tcPr>
            <w:tcW w:w="1620" w:type="dxa"/>
            <w:tcBorders>
              <w:top w:val="nil"/>
              <w:left w:val="nil"/>
              <w:bottom w:val="single" w:sz="8" w:space="0" w:color="C0C0C0"/>
              <w:right w:val="double" w:sz="6" w:space="0" w:color="333399"/>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0.08</w:t>
            </w:r>
          </w:p>
        </w:tc>
        <w:tc>
          <w:tcPr>
            <w:tcW w:w="1440" w:type="dxa"/>
            <w:tcBorders>
              <w:top w:val="nil"/>
              <w:left w:val="nil"/>
              <w:bottom w:val="single" w:sz="8" w:space="0" w:color="C0C0C0"/>
              <w:right w:val="nil"/>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 </w:t>
            </w:r>
          </w:p>
        </w:tc>
        <w:tc>
          <w:tcPr>
            <w:tcW w:w="2070" w:type="dxa"/>
            <w:tcBorders>
              <w:top w:val="nil"/>
              <w:left w:val="nil"/>
              <w:bottom w:val="single" w:sz="8" w:space="0" w:color="C0C0C0"/>
              <w:right w:val="single" w:sz="12" w:space="0" w:color="003366"/>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5</w:t>
            </w:r>
          </w:p>
        </w:tc>
      </w:tr>
      <w:tr w:rsidR="00F920A0" w:rsidRPr="00F920A0" w:rsidTr="00F920A0">
        <w:trPr>
          <w:trHeight w:val="540"/>
        </w:trPr>
        <w:tc>
          <w:tcPr>
            <w:tcW w:w="2505" w:type="dxa"/>
            <w:tcBorders>
              <w:top w:val="nil"/>
              <w:left w:val="single" w:sz="12" w:space="0" w:color="003366"/>
              <w:bottom w:val="single" w:sz="8" w:space="0" w:color="C0C0C0"/>
              <w:right w:val="double" w:sz="6" w:space="0" w:color="333399"/>
            </w:tcBorders>
            <w:shd w:val="clear" w:color="auto" w:fill="auto"/>
            <w:vAlign w:val="bottom"/>
            <w:hideMark/>
          </w:tcPr>
          <w:p w:rsidR="00F920A0" w:rsidRPr="00F920A0" w:rsidRDefault="00F920A0" w:rsidP="00F920A0">
            <w:pPr>
              <w:spacing w:line="276" w:lineRule="auto"/>
              <w:rPr>
                <w:rFonts w:cs="Arial"/>
                <w:sz w:val="20"/>
                <w:szCs w:val="20"/>
              </w:rPr>
            </w:pPr>
            <w:r w:rsidRPr="00F920A0">
              <w:rPr>
                <w:rFonts w:cs="Arial"/>
                <w:sz w:val="20"/>
                <w:szCs w:val="20"/>
              </w:rPr>
              <w:t>Ammonia as Nitrogen (mg/L)</w:t>
            </w:r>
          </w:p>
        </w:tc>
        <w:tc>
          <w:tcPr>
            <w:tcW w:w="1440" w:type="dxa"/>
            <w:tcBorders>
              <w:top w:val="nil"/>
              <w:left w:val="nil"/>
              <w:bottom w:val="single" w:sz="8" w:space="0" w:color="C0C0C0"/>
              <w:right w:val="nil"/>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NA</w:t>
            </w:r>
          </w:p>
        </w:tc>
        <w:tc>
          <w:tcPr>
            <w:tcW w:w="1620" w:type="dxa"/>
            <w:tcBorders>
              <w:top w:val="nil"/>
              <w:left w:val="nil"/>
              <w:bottom w:val="single" w:sz="8" w:space="0" w:color="C0C0C0"/>
              <w:right w:val="double" w:sz="6" w:space="0" w:color="333399"/>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0.77</w:t>
            </w:r>
          </w:p>
        </w:tc>
        <w:tc>
          <w:tcPr>
            <w:tcW w:w="1440" w:type="dxa"/>
            <w:tcBorders>
              <w:top w:val="nil"/>
              <w:left w:val="nil"/>
              <w:bottom w:val="single" w:sz="8" w:space="0" w:color="C0C0C0"/>
              <w:right w:val="nil"/>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 </w:t>
            </w:r>
          </w:p>
        </w:tc>
        <w:tc>
          <w:tcPr>
            <w:tcW w:w="2070" w:type="dxa"/>
            <w:tcBorders>
              <w:top w:val="nil"/>
              <w:left w:val="nil"/>
              <w:bottom w:val="single" w:sz="8" w:space="0" w:color="C0C0C0"/>
              <w:right w:val="single" w:sz="12" w:space="0" w:color="003366"/>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5</w:t>
            </w:r>
          </w:p>
        </w:tc>
      </w:tr>
      <w:tr w:rsidR="00F920A0" w:rsidRPr="00F920A0" w:rsidTr="00F920A0">
        <w:trPr>
          <w:trHeight w:val="394"/>
        </w:trPr>
        <w:tc>
          <w:tcPr>
            <w:tcW w:w="2505" w:type="dxa"/>
            <w:tcBorders>
              <w:top w:val="nil"/>
              <w:left w:val="single" w:sz="12" w:space="0" w:color="003366"/>
              <w:bottom w:val="single" w:sz="8" w:space="0" w:color="C0C0C0"/>
              <w:right w:val="double" w:sz="6" w:space="0" w:color="333399"/>
            </w:tcBorders>
            <w:shd w:val="clear" w:color="auto" w:fill="auto"/>
            <w:vAlign w:val="bottom"/>
            <w:hideMark/>
          </w:tcPr>
          <w:p w:rsidR="00F920A0" w:rsidRPr="00F920A0" w:rsidRDefault="00F920A0" w:rsidP="00F920A0">
            <w:pPr>
              <w:spacing w:line="276" w:lineRule="auto"/>
              <w:rPr>
                <w:rFonts w:cs="Arial"/>
                <w:sz w:val="20"/>
                <w:szCs w:val="20"/>
              </w:rPr>
            </w:pPr>
            <w:r w:rsidRPr="00F920A0">
              <w:rPr>
                <w:rFonts w:cs="Arial"/>
                <w:sz w:val="20"/>
                <w:szCs w:val="20"/>
              </w:rPr>
              <w:t xml:space="preserve">Total </w:t>
            </w:r>
            <w:proofErr w:type="gramStart"/>
            <w:r w:rsidRPr="00F920A0">
              <w:rPr>
                <w:rFonts w:cs="Arial"/>
                <w:sz w:val="20"/>
                <w:szCs w:val="20"/>
              </w:rPr>
              <w:t>Nitrogen  (</w:t>
            </w:r>
            <w:proofErr w:type="gramEnd"/>
            <w:r w:rsidRPr="00F920A0">
              <w:rPr>
                <w:rFonts w:cs="Arial"/>
                <w:sz w:val="20"/>
                <w:szCs w:val="20"/>
              </w:rPr>
              <w:t>mg/L)</w:t>
            </w:r>
          </w:p>
        </w:tc>
        <w:tc>
          <w:tcPr>
            <w:tcW w:w="1440" w:type="dxa"/>
            <w:tcBorders>
              <w:top w:val="nil"/>
              <w:left w:val="nil"/>
              <w:bottom w:val="single" w:sz="8" w:space="0" w:color="C0C0C0"/>
              <w:right w:val="nil"/>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53.5</w:t>
            </w:r>
          </w:p>
        </w:tc>
        <w:tc>
          <w:tcPr>
            <w:tcW w:w="1620" w:type="dxa"/>
            <w:tcBorders>
              <w:top w:val="nil"/>
              <w:left w:val="nil"/>
              <w:bottom w:val="single" w:sz="8" w:space="0" w:color="C0C0C0"/>
              <w:right w:val="double" w:sz="6" w:space="0" w:color="333399"/>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2.6</w:t>
            </w:r>
          </w:p>
        </w:tc>
        <w:tc>
          <w:tcPr>
            <w:tcW w:w="1440" w:type="dxa"/>
            <w:tcBorders>
              <w:top w:val="nil"/>
              <w:left w:val="nil"/>
              <w:bottom w:val="single" w:sz="8" w:space="0" w:color="C0C0C0"/>
              <w:right w:val="nil"/>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95.14%</w:t>
            </w:r>
          </w:p>
        </w:tc>
        <w:tc>
          <w:tcPr>
            <w:tcW w:w="2070" w:type="dxa"/>
            <w:tcBorders>
              <w:top w:val="nil"/>
              <w:left w:val="nil"/>
              <w:bottom w:val="single" w:sz="8" w:space="0" w:color="C0C0C0"/>
              <w:right w:val="single" w:sz="12" w:space="0" w:color="003366"/>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 </w:t>
            </w:r>
          </w:p>
        </w:tc>
      </w:tr>
      <w:tr w:rsidR="00F920A0" w:rsidRPr="00F920A0" w:rsidTr="00F920A0">
        <w:trPr>
          <w:trHeight w:val="390"/>
        </w:trPr>
        <w:tc>
          <w:tcPr>
            <w:tcW w:w="2505" w:type="dxa"/>
            <w:tcBorders>
              <w:top w:val="nil"/>
              <w:left w:val="single" w:sz="12" w:space="0" w:color="003366"/>
              <w:bottom w:val="single" w:sz="8" w:space="0" w:color="C0C0C0"/>
              <w:right w:val="double" w:sz="6" w:space="0" w:color="333399"/>
            </w:tcBorders>
            <w:shd w:val="clear" w:color="auto" w:fill="auto"/>
            <w:vAlign w:val="bottom"/>
            <w:hideMark/>
          </w:tcPr>
          <w:p w:rsidR="00F920A0" w:rsidRPr="00F920A0" w:rsidRDefault="00F920A0" w:rsidP="00F920A0">
            <w:pPr>
              <w:spacing w:line="276" w:lineRule="auto"/>
              <w:rPr>
                <w:rFonts w:cs="Arial"/>
                <w:sz w:val="20"/>
                <w:szCs w:val="20"/>
              </w:rPr>
            </w:pPr>
            <w:r w:rsidRPr="00F920A0">
              <w:rPr>
                <w:rFonts w:cs="Arial"/>
                <w:sz w:val="20"/>
                <w:szCs w:val="20"/>
              </w:rPr>
              <w:t>BOD</w:t>
            </w:r>
            <w:r w:rsidRPr="00F920A0">
              <w:rPr>
                <w:rFonts w:cs="Arial"/>
                <w:sz w:val="20"/>
                <w:szCs w:val="20"/>
                <w:vertAlign w:val="subscript"/>
              </w:rPr>
              <w:t xml:space="preserve">5 </w:t>
            </w:r>
            <w:r w:rsidRPr="00F920A0">
              <w:rPr>
                <w:rFonts w:cs="Arial"/>
                <w:sz w:val="20"/>
                <w:szCs w:val="20"/>
              </w:rPr>
              <w:t>(mg/L)</w:t>
            </w:r>
          </w:p>
        </w:tc>
        <w:tc>
          <w:tcPr>
            <w:tcW w:w="1440" w:type="dxa"/>
            <w:tcBorders>
              <w:top w:val="nil"/>
              <w:left w:val="nil"/>
              <w:bottom w:val="single" w:sz="8" w:space="0" w:color="C0C0C0"/>
              <w:right w:val="nil"/>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214</w:t>
            </w:r>
          </w:p>
        </w:tc>
        <w:tc>
          <w:tcPr>
            <w:tcW w:w="1620" w:type="dxa"/>
            <w:tcBorders>
              <w:top w:val="nil"/>
              <w:left w:val="nil"/>
              <w:bottom w:val="single" w:sz="8" w:space="0" w:color="C0C0C0"/>
              <w:right w:val="double" w:sz="6" w:space="0" w:color="333399"/>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4.2</w:t>
            </w:r>
          </w:p>
        </w:tc>
        <w:tc>
          <w:tcPr>
            <w:tcW w:w="1440" w:type="dxa"/>
            <w:tcBorders>
              <w:top w:val="nil"/>
              <w:left w:val="nil"/>
              <w:bottom w:val="single" w:sz="8" w:space="0" w:color="C0C0C0"/>
              <w:right w:val="nil"/>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98.04%</w:t>
            </w:r>
          </w:p>
        </w:tc>
        <w:tc>
          <w:tcPr>
            <w:tcW w:w="2070" w:type="dxa"/>
            <w:tcBorders>
              <w:top w:val="nil"/>
              <w:left w:val="nil"/>
              <w:bottom w:val="single" w:sz="8" w:space="0" w:color="C0C0C0"/>
              <w:right w:val="single" w:sz="12" w:space="0" w:color="003366"/>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30</w:t>
            </w:r>
          </w:p>
        </w:tc>
      </w:tr>
      <w:tr w:rsidR="00F920A0" w:rsidRPr="00F920A0" w:rsidTr="00F920A0">
        <w:trPr>
          <w:trHeight w:val="375"/>
        </w:trPr>
        <w:tc>
          <w:tcPr>
            <w:tcW w:w="2505" w:type="dxa"/>
            <w:tcBorders>
              <w:top w:val="nil"/>
              <w:left w:val="single" w:sz="12" w:space="0" w:color="003366"/>
              <w:bottom w:val="single" w:sz="8" w:space="0" w:color="C0C0C0"/>
              <w:right w:val="double" w:sz="6" w:space="0" w:color="333399"/>
            </w:tcBorders>
            <w:shd w:val="clear" w:color="auto" w:fill="auto"/>
            <w:vAlign w:val="bottom"/>
            <w:hideMark/>
          </w:tcPr>
          <w:p w:rsidR="00F920A0" w:rsidRPr="00F920A0" w:rsidRDefault="00F920A0" w:rsidP="00F920A0">
            <w:pPr>
              <w:spacing w:line="276" w:lineRule="auto"/>
              <w:rPr>
                <w:rFonts w:cs="Arial"/>
                <w:sz w:val="20"/>
                <w:szCs w:val="20"/>
              </w:rPr>
            </w:pPr>
            <w:r w:rsidRPr="00F920A0">
              <w:rPr>
                <w:rFonts w:cs="Arial"/>
                <w:sz w:val="20"/>
                <w:szCs w:val="20"/>
              </w:rPr>
              <w:t>TSS (mg/L)</w:t>
            </w:r>
          </w:p>
        </w:tc>
        <w:tc>
          <w:tcPr>
            <w:tcW w:w="1440" w:type="dxa"/>
            <w:tcBorders>
              <w:top w:val="nil"/>
              <w:left w:val="nil"/>
              <w:bottom w:val="single" w:sz="8" w:space="0" w:color="C0C0C0"/>
              <w:right w:val="nil"/>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161</w:t>
            </w:r>
          </w:p>
        </w:tc>
        <w:tc>
          <w:tcPr>
            <w:tcW w:w="1620" w:type="dxa"/>
            <w:tcBorders>
              <w:top w:val="nil"/>
              <w:left w:val="nil"/>
              <w:bottom w:val="single" w:sz="8" w:space="0" w:color="C0C0C0"/>
              <w:right w:val="double" w:sz="6" w:space="0" w:color="333399"/>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6.0</w:t>
            </w:r>
          </w:p>
        </w:tc>
        <w:tc>
          <w:tcPr>
            <w:tcW w:w="1440" w:type="dxa"/>
            <w:tcBorders>
              <w:top w:val="nil"/>
              <w:left w:val="nil"/>
              <w:bottom w:val="single" w:sz="8" w:space="0" w:color="C0C0C0"/>
              <w:right w:val="nil"/>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96.27%</w:t>
            </w:r>
          </w:p>
        </w:tc>
        <w:tc>
          <w:tcPr>
            <w:tcW w:w="2070" w:type="dxa"/>
            <w:tcBorders>
              <w:top w:val="nil"/>
              <w:left w:val="nil"/>
              <w:bottom w:val="single" w:sz="8" w:space="0" w:color="C0C0C0"/>
              <w:right w:val="single" w:sz="12" w:space="0" w:color="003366"/>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30</w:t>
            </w:r>
          </w:p>
        </w:tc>
      </w:tr>
      <w:tr w:rsidR="00F920A0" w:rsidRPr="00F920A0" w:rsidTr="00F920A0">
        <w:trPr>
          <w:trHeight w:val="375"/>
        </w:trPr>
        <w:tc>
          <w:tcPr>
            <w:tcW w:w="2505" w:type="dxa"/>
            <w:tcBorders>
              <w:top w:val="nil"/>
              <w:left w:val="single" w:sz="12" w:space="0" w:color="003366"/>
              <w:bottom w:val="single" w:sz="12" w:space="0" w:color="003366"/>
              <w:right w:val="double" w:sz="6" w:space="0" w:color="333399"/>
            </w:tcBorders>
            <w:shd w:val="clear" w:color="auto" w:fill="auto"/>
            <w:vAlign w:val="bottom"/>
            <w:hideMark/>
          </w:tcPr>
          <w:p w:rsidR="00F920A0" w:rsidRPr="00F920A0" w:rsidRDefault="00F920A0" w:rsidP="00F920A0">
            <w:pPr>
              <w:spacing w:line="276" w:lineRule="auto"/>
              <w:rPr>
                <w:rFonts w:cs="Arial"/>
                <w:sz w:val="20"/>
                <w:szCs w:val="20"/>
              </w:rPr>
            </w:pPr>
            <w:r w:rsidRPr="00F920A0">
              <w:rPr>
                <w:rFonts w:cs="Arial"/>
                <w:sz w:val="20"/>
                <w:szCs w:val="20"/>
              </w:rPr>
              <w:t>pH</w:t>
            </w:r>
          </w:p>
        </w:tc>
        <w:tc>
          <w:tcPr>
            <w:tcW w:w="1440" w:type="dxa"/>
            <w:tcBorders>
              <w:top w:val="nil"/>
              <w:left w:val="nil"/>
              <w:bottom w:val="single" w:sz="12" w:space="0" w:color="003366"/>
              <w:right w:val="nil"/>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7.82</w:t>
            </w:r>
          </w:p>
        </w:tc>
        <w:tc>
          <w:tcPr>
            <w:tcW w:w="1620" w:type="dxa"/>
            <w:tcBorders>
              <w:top w:val="nil"/>
              <w:left w:val="nil"/>
              <w:bottom w:val="single" w:sz="12" w:space="0" w:color="003366"/>
              <w:right w:val="double" w:sz="6" w:space="0" w:color="333399"/>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7.19</w:t>
            </w:r>
          </w:p>
        </w:tc>
        <w:tc>
          <w:tcPr>
            <w:tcW w:w="1440" w:type="dxa"/>
            <w:tcBorders>
              <w:top w:val="nil"/>
              <w:left w:val="nil"/>
              <w:bottom w:val="single" w:sz="12" w:space="0" w:color="003366"/>
              <w:right w:val="nil"/>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 </w:t>
            </w:r>
          </w:p>
        </w:tc>
        <w:tc>
          <w:tcPr>
            <w:tcW w:w="2070" w:type="dxa"/>
            <w:tcBorders>
              <w:top w:val="nil"/>
              <w:left w:val="nil"/>
              <w:bottom w:val="single" w:sz="12" w:space="0" w:color="003366"/>
              <w:right w:val="single" w:sz="12" w:space="0" w:color="003366"/>
            </w:tcBorders>
            <w:shd w:val="clear" w:color="auto" w:fill="auto"/>
            <w:vAlign w:val="bottom"/>
            <w:hideMark/>
          </w:tcPr>
          <w:p w:rsidR="00F920A0" w:rsidRPr="00F920A0" w:rsidRDefault="00F920A0" w:rsidP="00F920A0">
            <w:pPr>
              <w:spacing w:line="276" w:lineRule="auto"/>
              <w:jc w:val="center"/>
              <w:rPr>
                <w:rFonts w:cs="Arial"/>
                <w:sz w:val="20"/>
                <w:szCs w:val="20"/>
              </w:rPr>
            </w:pPr>
            <w:r w:rsidRPr="00F920A0">
              <w:rPr>
                <w:rFonts w:cs="Arial"/>
                <w:sz w:val="20"/>
                <w:szCs w:val="20"/>
              </w:rPr>
              <w:t>6.5-8.4</w:t>
            </w:r>
          </w:p>
        </w:tc>
      </w:tr>
    </w:tbl>
    <w:p w:rsidR="00805DE3" w:rsidRPr="00E66064" w:rsidRDefault="004F3940" w:rsidP="00F920A0">
      <w:pPr>
        <w:pStyle w:val="FootnoteText"/>
        <w:keepNext/>
        <w:ind w:left="360"/>
        <w:jc w:val="center"/>
        <w:rPr>
          <w:sz w:val="18"/>
          <w:szCs w:val="18"/>
        </w:rPr>
      </w:pPr>
      <w:r w:rsidRPr="00E66064">
        <w:rPr>
          <w:sz w:val="18"/>
          <w:szCs w:val="18"/>
        </w:rPr>
        <w:t>D</w:t>
      </w:r>
      <w:r w:rsidR="00640E35" w:rsidRPr="00E66064">
        <w:rPr>
          <w:sz w:val="18"/>
          <w:szCs w:val="18"/>
        </w:rPr>
        <w:t xml:space="preserve">ata </w:t>
      </w:r>
      <w:r w:rsidR="00F920A0">
        <w:rPr>
          <w:sz w:val="18"/>
          <w:szCs w:val="18"/>
        </w:rPr>
        <w:t>is average</w:t>
      </w:r>
      <w:r w:rsidRPr="00E66064">
        <w:rPr>
          <w:sz w:val="18"/>
          <w:szCs w:val="18"/>
        </w:rPr>
        <w:t xml:space="preserve"> of </w:t>
      </w:r>
      <w:r w:rsidR="00343BC2" w:rsidRPr="00E66064">
        <w:rPr>
          <w:sz w:val="18"/>
          <w:szCs w:val="18"/>
        </w:rPr>
        <w:t>1</w:t>
      </w:r>
      <w:r w:rsidR="004C3B77" w:rsidRPr="00E66064">
        <w:rPr>
          <w:sz w:val="18"/>
          <w:szCs w:val="18"/>
        </w:rPr>
        <w:t>2</w:t>
      </w:r>
      <w:r w:rsidR="003562D9" w:rsidRPr="00E66064">
        <w:rPr>
          <w:sz w:val="18"/>
          <w:szCs w:val="18"/>
        </w:rPr>
        <w:t xml:space="preserve"> </w:t>
      </w:r>
      <w:r w:rsidRPr="00E66064">
        <w:rPr>
          <w:sz w:val="18"/>
          <w:szCs w:val="18"/>
        </w:rPr>
        <w:t xml:space="preserve">monthly </w:t>
      </w:r>
      <w:r w:rsidR="003562D9" w:rsidRPr="00E66064">
        <w:rPr>
          <w:sz w:val="18"/>
          <w:szCs w:val="18"/>
        </w:rPr>
        <w:t xml:space="preserve">sampling events </w:t>
      </w:r>
      <w:r w:rsidR="00640E35" w:rsidRPr="00E66064">
        <w:rPr>
          <w:sz w:val="18"/>
          <w:szCs w:val="18"/>
        </w:rPr>
        <w:t xml:space="preserve">from </w:t>
      </w:r>
      <w:r w:rsidR="00AF6D06" w:rsidRPr="00E66064">
        <w:rPr>
          <w:sz w:val="18"/>
          <w:szCs w:val="18"/>
        </w:rPr>
        <w:t>Jan</w:t>
      </w:r>
      <w:r w:rsidR="00F920A0">
        <w:rPr>
          <w:sz w:val="18"/>
          <w:szCs w:val="18"/>
        </w:rPr>
        <w:t xml:space="preserve"> –</w:t>
      </w:r>
      <w:r w:rsidR="00640E35" w:rsidRPr="00E66064">
        <w:rPr>
          <w:sz w:val="18"/>
          <w:szCs w:val="18"/>
        </w:rPr>
        <w:t xml:space="preserve"> </w:t>
      </w:r>
      <w:r w:rsidR="00AF6D06" w:rsidRPr="00E66064">
        <w:rPr>
          <w:sz w:val="18"/>
          <w:szCs w:val="18"/>
        </w:rPr>
        <w:t>Dec</w:t>
      </w:r>
      <w:r w:rsidR="00F920A0">
        <w:rPr>
          <w:sz w:val="18"/>
          <w:szCs w:val="18"/>
        </w:rPr>
        <w:t xml:space="preserve"> 2019</w:t>
      </w:r>
      <w:r w:rsidR="00347E8A">
        <w:rPr>
          <w:sz w:val="18"/>
          <w:szCs w:val="18"/>
        </w:rPr>
        <w:t>.</w:t>
      </w:r>
      <w:r w:rsidR="00063CC6">
        <w:rPr>
          <w:sz w:val="18"/>
          <w:szCs w:val="18"/>
        </w:rPr>
        <w:t xml:space="preserve"> The Influent TDS for March was excluded from the average as Staff believes that test result to be inaccurate.</w:t>
      </w:r>
    </w:p>
    <w:p w:rsidR="00791A2E" w:rsidRDefault="00791A2E" w:rsidP="00791A2E">
      <w:pPr>
        <w:pStyle w:val="BodyText"/>
      </w:pPr>
    </w:p>
    <w:p w:rsidR="00791A2E" w:rsidRPr="0010716B" w:rsidRDefault="00791A2E" w:rsidP="00791A2E">
      <w:pPr>
        <w:pStyle w:val="BodyText"/>
      </w:pPr>
      <w:r>
        <w:t>The Ridgemark Wastewater Treatment Plant’s SBR treatment process has consistently treated the wastewater effluent to within regulation standards for Nitrate, Ammonia, Total Nitrogen, BOD</w:t>
      </w:r>
      <w:r>
        <w:rPr>
          <w:vertAlign w:val="subscript"/>
        </w:rPr>
        <w:t>5</w:t>
      </w:r>
      <w:r>
        <w:t xml:space="preserve">, TSS, and pH since it began operation at the end of 2012.  </w:t>
      </w:r>
    </w:p>
    <w:p w:rsidR="00F920A0" w:rsidRDefault="00F920A0" w:rsidP="00F920A0">
      <w:pPr>
        <w:pStyle w:val="BodyText"/>
      </w:pPr>
      <w:r>
        <w:t xml:space="preserve">The District achieved compliance with TDS regulations in 2015 and has continued to remain under the limit through 2019.  The effluent TDS has been drastically reduced from previous concentrations that were consistently above 1,600mg/L in 2014, to a current annual average concentration of 721 mg/L. This is a decrease of 55% </w:t>
      </w:r>
      <w:r w:rsidR="000F7AB5">
        <w:t>in five years</w:t>
      </w:r>
      <w:r>
        <w:t xml:space="preserve">. </w:t>
      </w:r>
    </w:p>
    <w:p w:rsidR="00791A2E" w:rsidRDefault="00791A2E" w:rsidP="00791A2E">
      <w:pPr>
        <w:pStyle w:val="BodyText"/>
      </w:pPr>
      <w:r>
        <w:t xml:space="preserve">In 2018, treated wastewater effluent met the regulatory limit for Sodium of 200mg/l </w:t>
      </w:r>
      <w:r w:rsidR="00F920A0">
        <w:t>and has continued to meet it in 2019</w:t>
      </w:r>
      <w:r>
        <w:t xml:space="preserve">. This is a significant accomplishment as Sodium concentrations were as much as 400mg/l in 2014 and have decreased by over 50% to meet the regulation. Sodium concentrations in the effluent have been on a consistent downward trend correlating to the District’s salinity management efforts. </w:t>
      </w:r>
    </w:p>
    <w:p w:rsidR="00791A2E" w:rsidRDefault="00791A2E" w:rsidP="00791A2E">
      <w:pPr>
        <w:pStyle w:val="BodyText"/>
      </w:pPr>
      <w:r>
        <w:t xml:space="preserve">Along with the Sodium and TDS levels, the effluent Chloride concentration has been steadily declining from 580mg/L in 2014 to </w:t>
      </w:r>
      <w:r w:rsidR="000F7AB5">
        <w:t>269mg/L in 2019</w:t>
      </w:r>
      <w:r>
        <w:t xml:space="preserve">. </w:t>
      </w:r>
      <w:r w:rsidR="000F7AB5">
        <w:t>This represents a decrease of 54</w:t>
      </w:r>
      <w:r>
        <w:t>% and shows significant progress toward achieving compliance.</w:t>
      </w:r>
      <w:r w:rsidR="003D5B2C">
        <w:t xml:space="preserve"> Based on the current trend from 2014 </w:t>
      </w:r>
      <w:r w:rsidR="000F7AB5">
        <w:t>through 2019</w:t>
      </w:r>
      <w:r w:rsidR="003D5B2C">
        <w:t>, it is expected that the effluent quality will be in full compliance with the Chloride regulation by 2021.</w:t>
      </w:r>
    </w:p>
    <w:p w:rsidR="008C3A59" w:rsidRDefault="008C3A59" w:rsidP="00791A2E">
      <w:pPr>
        <w:pStyle w:val="BodyText"/>
      </w:pPr>
      <w:r>
        <w:t>The substantial reductions in multiple effluent salin</w:t>
      </w:r>
      <w:r w:rsidR="000F7AB5">
        <w:t>ity parameters from 2014 to 2019</w:t>
      </w:r>
      <w:r>
        <w:t xml:space="preserve"> is primarily attributed to the District’s salinity management strategy as described in Section 5.</w:t>
      </w:r>
    </w:p>
    <w:p w:rsidR="00B24996" w:rsidRPr="00DC0C2F" w:rsidRDefault="00C5193C" w:rsidP="00B24996">
      <w:pPr>
        <w:pStyle w:val="Heading1"/>
        <w:tabs>
          <w:tab w:val="clear" w:pos="720"/>
          <w:tab w:val="left" w:pos="0"/>
        </w:tabs>
        <w:rPr>
          <w:color w:val="auto"/>
        </w:rPr>
      </w:pPr>
      <w:bookmarkStart w:id="21" w:name="_Toc124832291"/>
      <w:bookmarkStart w:id="22" w:name="_Toc125348633"/>
      <w:r>
        <w:rPr>
          <w:color w:val="auto"/>
        </w:rPr>
        <w:lastRenderedPageBreak/>
        <w:t>Past and Future</w:t>
      </w:r>
      <w:r w:rsidR="00CB66E5" w:rsidRPr="00DC0C2F">
        <w:rPr>
          <w:color w:val="auto"/>
        </w:rPr>
        <w:t xml:space="preserve"> Steps</w:t>
      </w:r>
    </w:p>
    <w:p w:rsidR="00791A2E" w:rsidRDefault="00791A2E" w:rsidP="00791A2E">
      <w:pPr>
        <w:pStyle w:val="BodyText"/>
      </w:pPr>
      <w:r w:rsidRPr="007F00E4">
        <w:t xml:space="preserve">The </w:t>
      </w:r>
      <w:r w:rsidRPr="007F00E4">
        <w:rPr>
          <w:i/>
          <w:iCs/>
        </w:rPr>
        <w:t>Long-Term Wastewater Management Plan</w:t>
      </w:r>
      <w:r w:rsidRPr="007F00E4">
        <w:t xml:space="preserve"> identified several improvements and modifications that could be implemented to provide an enhanced level of treatment to meet the future</w:t>
      </w:r>
      <w:r>
        <w:t xml:space="preserve"> requirements</w:t>
      </w:r>
      <w:r w:rsidR="00870351">
        <w:t>, many of which have been effectively implemented</w:t>
      </w:r>
      <w:r>
        <w:t xml:space="preserve">.  The District has </w:t>
      </w:r>
      <w:r w:rsidR="00870351">
        <w:t xml:space="preserve">also </w:t>
      </w:r>
      <w:r>
        <w:t>work</w:t>
      </w:r>
      <w:r w:rsidR="00870351">
        <w:t>ed</w:t>
      </w:r>
      <w:r w:rsidRPr="007F00E4">
        <w:t xml:space="preserve"> with the City of Hollister, San Benito County Water District, San Benito County, and other </w:t>
      </w:r>
      <w:r w:rsidR="00870351">
        <w:t>s</w:t>
      </w:r>
      <w:r w:rsidRPr="007F00E4">
        <w:t xml:space="preserve">takeholders to develop agreement on </w:t>
      </w:r>
      <w:r>
        <w:t xml:space="preserve">the </w:t>
      </w:r>
      <w:r w:rsidRPr="007F00E4">
        <w:t xml:space="preserve">preferred projects </w:t>
      </w:r>
      <w:r>
        <w:t xml:space="preserve">and strategies </w:t>
      </w:r>
      <w:r w:rsidRPr="007F00E4">
        <w:t>to meet the water quality objectives</w:t>
      </w:r>
      <w:r w:rsidR="00870351">
        <w:t xml:space="preserve"> for the whole region</w:t>
      </w:r>
      <w:r>
        <w:t xml:space="preserve">. </w:t>
      </w:r>
      <w:r w:rsidRPr="007F00E4">
        <w:t xml:space="preserve"> </w:t>
      </w:r>
      <w:r w:rsidR="00870351">
        <w:t xml:space="preserve">In 2008, </w:t>
      </w:r>
      <w:r w:rsidRPr="007F00E4">
        <w:t xml:space="preserve">SSCWD joined the Governance Committee of the Hollister Area </w:t>
      </w:r>
      <w:r>
        <w:t>Urban Wa</w:t>
      </w:r>
      <w:r w:rsidRPr="007F00E4">
        <w:t xml:space="preserve">ter and Wastewater Management Plan in order to become an integral part of this regional effort to improve potable water and wastewater quality. </w:t>
      </w:r>
    </w:p>
    <w:p w:rsidR="00AC40B1" w:rsidRPr="00DC0C2F" w:rsidRDefault="00C5193C" w:rsidP="00AC40B1">
      <w:pPr>
        <w:spacing w:after="120"/>
        <w:rPr>
          <w:rFonts w:ascii="Times New Roman" w:hAnsi="Times New Roman"/>
        </w:rPr>
      </w:pPr>
      <w:r w:rsidRPr="00DC0C2F">
        <w:rPr>
          <w:rFonts w:ascii="Times New Roman" w:hAnsi="Times New Roman"/>
        </w:rPr>
        <w:t xml:space="preserve">In June 2013, Sunnyslope County Water District, the City of Hollister, and San Benito County Water District entered into a Water Supply and Treatment Agreement to implement the entire Hollister Urban Area Water and Wastewater Master Plan and Coordinated Water Supply and Treatment Plan. The three major water supply and treatment components for the Coordinated Water Supply and Treatment Plan </w:t>
      </w:r>
      <w:r>
        <w:rPr>
          <w:rFonts w:ascii="Times New Roman" w:hAnsi="Times New Roman"/>
        </w:rPr>
        <w:t>were to</w:t>
      </w:r>
      <w:r w:rsidRPr="00DC0C2F">
        <w:rPr>
          <w:rFonts w:ascii="Times New Roman" w:hAnsi="Times New Roman"/>
        </w:rPr>
        <w:t xml:space="preserve"> upgrade the </w:t>
      </w:r>
      <w:proofErr w:type="spellStart"/>
      <w:r w:rsidRPr="00DC0C2F">
        <w:rPr>
          <w:rFonts w:ascii="Times New Roman" w:hAnsi="Times New Roman"/>
        </w:rPr>
        <w:t>Lessalt</w:t>
      </w:r>
      <w:proofErr w:type="spellEnd"/>
      <w:r w:rsidRPr="00DC0C2F">
        <w:rPr>
          <w:rFonts w:ascii="Times New Roman" w:hAnsi="Times New Roman"/>
        </w:rPr>
        <w:t xml:space="preserve"> Surface Water Treatment Plant</w:t>
      </w:r>
      <w:r>
        <w:rPr>
          <w:rFonts w:ascii="Times New Roman" w:hAnsi="Times New Roman"/>
        </w:rPr>
        <w:t>, to</w:t>
      </w:r>
      <w:r w:rsidRPr="00DC0C2F">
        <w:rPr>
          <w:rFonts w:ascii="Times New Roman" w:hAnsi="Times New Roman"/>
        </w:rPr>
        <w:t xml:space="preserve"> construct a new West Hills Surface Water Treatment Plant, </w:t>
      </w:r>
      <w:r>
        <w:rPr>
          <w:rFonts w:ascii="Times New Roman" w:hAnsi="Times New Roman"/>
        </w:rPr>
        <w:t xml:space="preserve">to construct the Crosstown Pipeline, </w:t>
      </w:r>
      <w:r w:rsidRPr="00DC0C2F">
        <w:rPr>
          <w:rFonts w:ascii="Times New Roman" w:hAnsi="Times New Roman"/>
        </w:rPr>
        <w:t xml:space="preserve">and </w:t>
      </w:r>
      <w:r>
        <w:rPr>
          <w:rFonts w:ascii="Times New Roman" w:hAnsi="Times New Roman"/>
        </w:rPr>
        <w:t>to</w:t>
      </w:r>
      <w:r w:rsidRPr="00DC0C2F">
        <w:rPr>
          <w:rFonts w:ascii="Times New Roman" w:hAnsi="Times New Roman"/>
        </w:rPr>
        <w:t xml:space="preserve"> build a North (San Benito) County Groundwater Bank to supply these two surface water treatment plants in time of drought. A </w:t>
      </w:r>
      <w:r>
        <w:rPr>
          <w:rFonts w:ascii="Times New Roman" w:hAnsi="Times New Roman"/>
        </w:rPr>
        <w:t>schedule showing the completion or anticipated completion dates for</w:t>
      </w:r>
      <w:r w:rsidRPr="00DC0C2F">
        <w:rPr>
          <w:rFonts w:ascii="Times New Roman" w:hAnsi="Times New Roman"/>
        </w:rPr>
        <w:t xml:space="preserve"> all elements of the Coordinated Water Supply and Treatment Plan is shown below. </w:t>
      </w:r>
    </w:p>
    <w:p w:rsidR="000E141E" w:rsidRPr="00DC0C2F" w:rsidRDefault="00870351" w:rsidP="00C5193C">
      <w:pPr>
        <w:pStyle w:val="BodyText"/>
      </w:pPr>
      <w:r>
        <w:t>In order to reduce the Ammonia</w:t>
      </w:r>
      <w:r w:rsidR="00D74B07">
        <w:t>, BOD</w:t>
      </w:r>
      <w:r w:rsidR="00D74B07">
        <w:rPr>
          <w:vertAlign w:val="subscript"/>
        </w:rPr>
        <w:t>5</w:t>
      </w:r>
      <w:r w:rsidR="00D74B07">
        <w:t>, and TSS</w:t>
      </w:r>
      <w:r>
        <w:t xml:space="preserve"> levels in the treated wastewater at the </w:t>
      </w:r>
      <w:r w:rsidR="00C6213D">
        <w:t>RM</w:t>
      </w:r>
      <w:r>
        <w:t xml:space="preserve"> </w:t>
      </w:r>
      <w:r w:rsidR="00D74B07">
        <w:t xml:space="preserve">I and II </w:t>
      </w:r>
      <w:r>
        <w:t>wastewater treatment plants, a new SBR treatment plant designed and built</w:t>
      </w:r>
      <w:r w:rsidR="00C6213D">
        <w:t xml:space="preserve"> as Ridgemark WWTP</w:t>
      </w:r>
      <w:r>
        <w:t xml:space="preserve">. </w:t>
      </w:r>
      <w:r w:rsidR="004E1D7F" w:rsidRPr="00DC0C2F">
        <w:t xml:space="preserve">The construction contract was awarded in May </w:t>
      </w:r>
      <w:r w:rsidR="00557984" w:rsidRPr="00DC0C2F">
        <w:t>201</w:t>
      </w:r>
      <w:r w:rsidR="009232A3" w:rsidRPr="00DC0C2F">
        <w:t>1</w:t>
      </w:r>
      <w:r w:rsidR="00236969">
        <w:t xml:space="preserve"> </w:t>
      </w:r>
      <w:r w:rsidR="003D37CB" w:rsidRPr="00DC0C2F">
        <w:t xml:space="preserve">and </w:t>
      </w:r>
      <w:r w:rsidR="00C6213D" w:rsidRPr="00DC0C2F">
        <w:t>the Sequential Batch Reactors were operational by the end of 2012</w:t>
      </w:r>
      <w:r w:rsidR="00C6213D">
        <w:t>. C</w:t>
      </w:r>
      <w:r w:rsidR="008F252C" w:rsidRPr="00DC0C2F">
        <w:t xml:space="preserve">onstruction </w:t>
      </w:r>
      <w:r w:rsidR="00C6213D">
        <w:t xml:space="preserve">of the sludge treatment and drying beds </w:t>
      </w:r>
      <w:r w:rsidR="003D6D9E">
        <w:t>was</w:t>
      </w:r>
      <w:r w:rsidR="00477B9F" w:rsidRPr="00DC0C2F">
        <w:t xml:space="preserve"> complete</w:t>
      </w:r>
      <w:r w:rsidR="003D6D9E">
        <w:t>d in 2013</w:t>
      </w:r>
      <w:r w:rsidR="004E1D7F" w:rsidRPr="00DC0C2F">
        <w:t xml:space="preserve">. </w:t>
      </w:r>
      <w:r w:rsidR="00C6213D">
        <w:t>RM</w:t>
      </w:r>
      <w:r w:rsidR="00347E8A">
        <w:t xml:space="preserve"> II</w:t>
      </w:r>
      <w:r w:rsidR="000F7ECF" w:rsidRPr="00DC0C2F">
        <w:t xml:space="preserve"> </w:t>
      </w:r>
      <w:r w:rsidR="00784E44" w:rsidRPr="00DC0C2F">
        <w:t>influent flow was</w:t>
      </w:r>
      <w:r w:rsidR="00347E8A">
        <w:t xml:space="preserve"> </w:t>
      </w:r>
      <w:r w:rsidR="00C6213D">
        <w:t>rerouted to Ridgemark WWTP</w:t>
      </w:r>
      <w:r w:rsidR="000F7ECF" w:rsidRPr="00DC0C2F">
        <w:t xml:space="preserve"> for treatment </w:t>
      </w:r>
      <w:r w:rsidR="00784E44" w:rsidRPr="00DC0C2F">
        <w:t>in the third quarter</w:t>
      </w:r>
      <w:r w:rsidR="000F7ECF" w:rsidRPr="00DC0C2F">
        <w:t xml:space="preserve"> of 2013</w:t>
      </w:r>
      <w:r w:rsidR="00236969">
        <w:t xml:space="preserve"> to consolidate </w:t>
      </w:r>
      <w:r w:rsidR="00C6213D">
        <w:t>all</w:t>
      </w:r>
      <w:r w:rsidR="00236969">
        <w:t xml:space="preserve"> wastewater treatment </w:t>
      </w:r>
      <w:r w:rsidR="00C6213D">
        <w:t>at that site</w:t>
      </w:r>
      <w:r w:rsidR="00236969">
        <w:t>.</w:t>
      </w:r>
    </w:p>
    <w:p w:rsidR="008C3A59" w:rsidRDefault="00741324" w:rsidP="00C5193C">
      <w:pPr>
        <w:spacing w:after="120"/>
        <w:rPr>
          <w:rFonts w:ascii="Times New Roman" w:hAnsi="Times New Roman"/>
        </w:rPr>
      </w:pPr>
      <w:r w:rsidRPr="00DC0C2F">
        <w:rPr>
          <w:rFonts w:ascii="Times New Roman" w:hAnsi="Times New Roman"/>
        </w:rPr>
        <w:t xml:space="preserve">The Upgrade to the </w:t>
      </w:r>
      <w:proofErr w:type="spellStart"/>
      <w:r w:rsidRPr="00DC0C2F">
        <w:rPr>
          <w:rFonts w:ascii="Times New Roman" w:hAnsi="Times New Roman"/>
        </w:rPr>
        <w:t>Lessalt</w:t>
      </w:r>
      <w:proofErr w:type="spellEnd"/>
      <w:r w:rsidRPr="00DC0C2F">
        <w:rPr>
          <w:rFonts w:ascii="Times New Roman" w:hAnsi="Times New Roman"/>
        </w:rPr>
        <w:t xml:space="preserve"> Water Treatment Plant</w:t>
      </w:r>
      <w:r w:rsidR="00C6213D">
        <w:rPr>
          <w:rFonts w:ascii="Times New Roman" w:hAnsi="Times New Roman"/>
        </w:rPr>
        <w:t xml:space="preserve">, </w:t>
      </w:r>
      <w:r w:rsidR="00C6213D" w:rsidRPr="00DC0C2F">
        <w:rPr>
          <w:rFonts w:ascii="Times New Roman" w:hAnsi="Times New Roman"/>
        </w:rPr>
        <w:t>pump station</w:t>
      </w:r>
      <w:r w:rsidR="00C6213D">
        <w:rPr>
          <w:rFonts w:ascii="Times New Roman" w:hAnsi="Times New Roman"/>
        </w:rPr>
        <w:t>,</w:t>
      </w:r>
      <w:r w:rsidRPr="00DC0C2F">
        <w:rPr>
          <w:rFonts w:ascii="Times New Roman" w:hAnsi="Times New Roman"/>
        </w:rPr>
        <w:t xml:space="preserve"> and a potable water pipeline </w:t>
      </w:r>
      <w:r w:rsidR="007348BF" w:rsidRPr="00DC0C2F">
        <w:rPr>
          <w:rFonts w:ascii="Times New Roman" w:hAnsi="Times New Roman"/>
        </w:rPr>
        <w:t xml:space="preserve">connecting the </w:t>
      </w:r>
      <w:proofErr w:type="spellStart"/>
      <w:r w:rsidR="007348BF" w:rsidRPr="00DC0C2F">
        <w:rPr>
          <w:rFonts w:ascii="Times New Roman" w:hAnsi="Times New Roman"/>
        </w:rPr>
        <w:t>Lessalt</w:t>
      </w:r>
      <w:proofErr w:type="spellEnd"/>
      <w:r w:rsidR="007348BF" w:rsidRPr="00DC0C2F">
        <w:rPr>
          <w:rFonts w:ascii="Times New Roman" w:hAnsi="Times New Roman"/>
        </w:rPr>
        <w:t xml:space="preserve"> surface water treatment plant to the Ridgemark Pressure Zone</w:t>
      </w:r>
      <w:r w:rsidRPr="00DC0C2F">
        <w:rPr>
          <w:rFonts w:ascii="Times New Roman" w:hAnsi="Times New Roman"/>
        </w:rPr>
        <w:t xml:space="preserve"> </w:t>
      </w:r>
      <w:r w:rsidR="00747314">
        <w:rPr>
          <w:rFonts w:ascii="Times New Roman" w:hAnsi="Times New Roman"/>
        </w:rPr>
        <w:t>was</w:t>
      </w:r>
      <w:r w:rsidRPr="00DC0C2F">
        <w:rPr>
          <w:rFonts w:ascii="Times New Roman" w:hAnsi="Times New Roman"/>
        </w:rPr>
        <w:t xml:space="preserve"> </w:t>
      </w:r>
      <w:r w:rsidR="00E01E97" w:rsidRPr="00DC0C2F">
        <w:rPr>
          <w:rFonts w:ascii="Times New Roman" w:hAnsi="Times New Roman"/>
        </w:rPr>
        <w:t>complete</w:t>
      </w:r>
      <w:r w:rsidR="00747314">
        <w:rPr>
          <w:rFonts w:ascii="Times New Roman" w:hAnsi="Times New Roman"/>
        </w:rPr>
        <w:t>d in December 2014</w:t>
      </w:r>
      <w:r w:rsidR="00E01E97" w:rsidRPr="00DC0C2F">
        <w:rPr>
          <w:rFonts w:ascii="Times New Roman" w:hAnsi="Times New Roman"/>
        </w:rPr>
        <w:t xml:space="preserve">.  </w:t>
      </w:r>
      <w:r w:rsidRPr="00DC0C2F">
        <w:rPr>
          <w:rFonts w:ascii="Times New Roman" w:hAnsi="Times New Roman"/>
        </w:rPr>
        <w:t>These facilities</w:t>
      </w:r>
      <w:r w:rsidR="007348BF" w:rsidRPr="00DC0C2F">
        <w:rPr>
          <w:rFonts w:ascii="Times New Roman" w:hAnsi="Times New Roman"/>
        </w:rPr>
        <w:t xml:space="preserve"> </w:t>
      </w:r>
      <w:r w:rsidR="00E01E97" w:rsidRPr="00DC0C2F">
        <w:rPr>
          <w:rFonts w:ascii="Times New Roman" w:hAnsi="Times New Roman"/>
        </w:rPr>
        <w:t>now</w:t>
      </w:r>
      <w:r w:rsidR="007348BF" w:rsidRPr="00DC0C2F">
        <w:rPr>
          <w:rFonts w:ascii="Times New Roman" w:hAnsi="Times New Roman"/>
        </w:rPr>
        <w:t xml:space="preserve"> allow the Ridgemark Pressure Zone </w:t>
      </w:r>
      <w:r w:rsidR="00AC40B1">
        <w:rPr>
          <w:rFonts w:ascii="Times New Roman" w:hAnsi="Times New Roman"/>
        </w:rPr>
        <w:t>(</w:t>
      </w:r>
      <w:r w:rsidR="007348BF" w:rsidRPr="00DC0C2F">
        <w:rPr>
          <w:rFonts w:ascii="Times New Roman" w:hAnsi="Times New Roman"/>
        </w:rPr>
        <w:t>which includes</w:t>
      </w:r>
      <w:r w:rsidR="00747314">
        <w:rPr>
          <w:rFonts w:ascii="Times New Roman" w:hAnsi="Times New Roman"/>
        </w:rPr>
        <w:t xml:space="preserve"> all</w:t>
      </w:r>
      <w:r w:rsidR="007348BF" w:rsidRPr="00DC0C2F">
        <w:rPr>
          <w:rFonts w:ascii="Times New Roman" w:hAnsi="Times New Roman"/>
        </w:rPr>
        <w:t xml:space="preserve"> the Ridgemark </w:t>
      </w:r>
      <w:r w:rsidR="00C6213D">
        <w:rPr>
          <w:rFonts w:ascii="Times New Roman" w:hAnsi="Times New Roman"/>
        </w:rPr>
        <w:t xml:space="preserve">WWTP </w:t>
      </w:r>
      <w:r w:rsidR="00AC40B1">
        <w:rPr>
          <w:rFonts w:ascii="Times New Roman" w:hAnsi="Times New Roman"/>
        </w:rPr>
        <w:t>customers)</w:t>
      </w:r>
      <w:r w:rsidR="007348BF" w:rsidRPr="00DC0C2F">
        <w:rPr>
          <w:rFonts w:ascii="Times New Roman" w:hAnsi="Times New Roman"/>
        </w:rPr>
        <w:t xml:space="preserve"> to receive </w:t>
      </w:r>
      <w:r w:rsidR="00B1286A">
        <w:rPr>
          <w:rFonts w:ascii="Times New Roman" w:hAnsi="Times New Roman"/>
        </w:rPr>
        <w:t xml:space="preserve">softer, </w:t>
      </w:r>
      <w:r w:rsidR="007348BF" w:rsidRPr="00DC0C2F">
        <w:rPr>
          <w:rFonts w:ascii="Times New Roman" w:hAnsi="Times New Roman"/>
        </w:rPr>
        <w:t>high quality drinking water</w:t>
      </w:r>
      <w:r w:rsidR="00DC07A9" w:rsidRPr="00DC0C2F">
        <w:rPr>
          <w:rFonts w:ascii="Times New Roman" w:hAnsi="Times New Roman"/>
        </w:rPr>
        <w:t xml:space="preserve">.  </w:t>
      </w:r>
      <w:r w:rsidR="00DA4EBE">
        <w:rPr>
          <w:rFonts w:ascii="Times New Roman" w:hAnsi="Times New Roman"/>
        </w:rPr>
        <w:t xml:space="preserve">The District in cooperation with the Water Resources Association of San Benito County </w:t>
      </w:r>
      <w:r w:rsidR="001164DD">
        <w:rPr>
          <w:rFonts w:ascii="Times New Roman" w:hAnsi="Times New Roman"/>
        </w:rPr>
        <w:t xml:space="preserve">(WRA) </w:t>
      </w:r>
      <w:r w:rsidR="00DA4EBE">
        <w:rPr>
          <w:rFonts w:ascii="Times New Roman" w:hAnsi="Times New Roman"/>
        </w:rPr>
        <w:t xml:space="preserve">has been conducting a significant educational campaign through door hanger distribution, website posts, </w:t>
      </w:r>
      <w:r w:rsidR="00E83944">
        <w:rPr>
          <w:rFonts w:ascii="Times New Roman" w:hAnsi="Times New Roman"/>
        </w:rPr>
        <w:t xml:space="preserve">direct outreach at community events, and </w:t>
      </w:r>
      <w:r w:rsidR="009855B4">
        <w:rPr>
          <w:rFonts w:ascii="Times New Roman" w:hAnsi="Times New Roman"/>
        </w:rPr>
        <w:t>in the an</w:t>
      </w:r>
      <w:r w:rsidR="00776574">
        <w:rPr>
          <w:rFonts w:ascii="Times New Roman" w:hAnsi="Times New Roman"/>
        </w:rPr>
        <w:t>nual Drinking Water Quality Repo</w:t>
      </w:r>
      <w:r w:rsidR="009855B4">
        <w:rPr>
          <w:rFonts w:ascii="Times New Roman" w:hAnsi="Times New Roman"/>
        </w:rPr>
        <w:t>rt</w:t>
      </w:r>
      <w:r w:rsidR="00B1286A">
        <w:rPr>
          <w:rFonts w:ascii="Times New Roman" w:hAnsi="Times New Roman"/>
        </w:rPr>
        <w:t xml:space="preserve"> to reduce the use of self-regenerating water softeners</w:t>
      </w:r>
      <w:r w:rsidR="00E83944">
        <w:rPr>
          <w:rFonts w:ascii="Times New Roman" w:hAnsi="Times New Roman"/>
        </w:rPr>
        <w:t xml:space="preserve">. </w:t>
      </w:r>
      <w:r w:rsidR="00B1286A">
        <w:rPr>
          <w:rFonts w:ascii="Times New Roman" w:hAnsi="Times New Roman"/>
        </w:rPr>
        <w:t>These water softeners are a significant source of TDS, Sodium, and Chloride in the wastewater.</w:t>
      </w:r>
      <w:r w:rsidR="00E83944">
        <w:rPr>
          <w:rFonts w:ascii="Times New Roman" w:hAnsi="Times New Roman"/>
        </w:rPr>
        <w:t xml:space="preserve"> </w:t>
      </w:r>
    </w:p>
    <w:p w:rsidR="007348BF" w:rsidRDefault="0084484B" w:rsidP="00C075CF">
      <w:pPr>
        <w:rPr>
          <w:rFonts w:ascii="Times New Roman" w:hAnsi="Times New Roman"/>
        </w:rPr>
      </w:pPr>
      <w:r>
        <w:rPr>
          <w:rFonts w:ascii="Times New Roman" w:hAnsi="Times New Roman"/>
        </w:rPr>
        <w:t xml:space="preserve">Rebates </w:t>
      </w:r>
      <w:r w:rsidR="001164DD">
        <w:rPr>
          <w:rFonts w:ascii="Times New Roman" w:hAnsi="Times New Roman"/>
        </w:rPr>
        <w:t xml:space="preserve">of $250-$300 </w:t>
      </w:r>
      <w:r w:rsidR="00E83944">
        <w:rPr>
          <w:rFonts w:ascii="Times New Roman" w:hAnsi="Times New Roman"/>
        </w:rPr>
        <w:t>for</w:t>
      </w:r>
      <w:r>
        <w:rPr>
          <w:rFonts w:ascii="Times New Roman" w:hAnsi="Times New Roman"/>
        </w:rPr>
        <w:t xml:space="preserve"> customers who</w:t>
      </w:r>
      <w:r w:rsidR="00BD18C1" w:rsidRPr="00DC0C2F">
        <w:rPr>
          <w:rFonts w:ascii="Times New Roman" w:hAnsi="Times New Roman"/>
        </w:rPr>
        <w:t xml:space="preserve"> </w:t>
      </w:r>
      <w:r>
        <w:rPr>
          <w:rFonts w:ascii="Times New Roman" w:hAnsi="Times New Roman"/>
        </w:rPr>
        <w:t>remove</w:t>
      </w:r>
      <w:r w:rsidR="00BD18C1" w:rsidRPr="00DC0C2F">
        <w:rPr>
          <w:rFonts w:ascii="Times New Roman" w:hAnsi="Times New Roman"/>
        </w:rPr>
        <w:t xml:space="preserve"> </w:t>
      </w:r>
      <w:r>
        <w:rPr>
          <w:rFonts w:ascii="Times New Roman" w:hAnsi="Times New Roman"/>
        </w:rPr>
        <w:t>their</w:t>
      </w:r>
      <w:r w:rsidR="00BD18C1" w:rsidRPr="00DC0C2F">
        <w:rPr>
          <w:rFonts w:ascii="Times New Roman" w:hAnsi="Times New Roman"/>
        </w:rPr>
        <w:t xml:space="preserve"> brine discharging water softeners </w:t>
      </w:r>
      <w:r>
        <w:rPr>
          <w:rFonts w:ascii="Times New Roman" w:hAnsi="Times New Roman"/>
        </w:rPr>
        <w:t xml:space="preserve">have been </w:t>
      </w:r>
      <w:r w:rsidR="00776574">
        <w:rPr>
          <w:rFonts w:ascii="Times New Roman" w:hAnsi="Times New Roman"/>
        </w:rPr>
        <w:t>applied</w:t>
      </w:r>
      <w:r>
        <w:rPr>
          <w:rFonts w:ascii="Times New Roman" w:hAnsi="Times New Roman"/>
        </w:rPr>
        <w:t xml:space="preserve"> to</w:t>
      </w:r>
      <w:r w:rsidR="005922B6" w:rsidRPr="00DC0C2F">
        <w:rPr>
          <w:rFonts w:ascii="Times New Roman" w:hAnsi="Times New Roman"/>
        </w:rPr>
        <w:t xml:space="preserve"> </w:t>
      </w:r>
      <w:r w:rsidR="00F06131">
        <w:rPr>
          <w:rFonts w:ascii="Times New Roman" w:hAnsi="Times New Roman"/>
        </w:rPr>
        <w:t>21</w:t>
      </w:r>
      <w:r w:rsidR="00776574" w:rsidRPr="00F06131">
        <w:rPr>
          <w:rFonts w:ascii="Times New Roman" w:hAnsi="Times New Roman"/>
        </w:rPr>
        <w:t xml:space="preserve"> </w:t>
      </w:r>
      <w:r w:rsidR="00776574">
        <w:rPr>
          <w:rFonts w:ascii="Times New Roman" w:hAnsi="Times New Roman"/>
        </w:rPr>
        <w:t xml:space="preserve">sewer </w:t>
      </w:r>
      <w:r>
        <w:rPr>
          <w:rFonts w:ascii="Times New Roman" w:hAnsi="Times New Roman"/>
        </w:rPr>
        <w:t>customers</w:t>
      </w:r>
      <w:r w:rsidR="001B4ADE">
        <w:rPr>
          <w:rFonts w:ascii="Times New Roman" w:hAnsi="Times New Roman"/>
        </w:rPr>
        <w:t xml:space="preserve"> in </w:t>
      </w:r>
      <w:r w:rsidR="00B1286A">
        <w:rPr>
          <w:rFonts w:ascii="Times New Roman" w:hAnsi="Times New Roman"/>
        </w:rPr>
        <w:t>2019</w:t>
      </w:r>
      <w:r w:rsidR="00E27734">
        <w:rPr>
          <w:rFonts w:ascii="Times New Roman" w:hAnsi="Times New Roman"/>
        </w:rPr>
        <w:t>. A</w:t>
      </w:r>
      <w:r w:rsidR="00E83944">
        <w:rPr>
          <w:rFonts w:ascii="Times New Roman" w:hAnsi="Times New Roman"/>
        </w:rPr>
        <w:t>t least</w:t>
      </w:r>
      <w:r w:rsidR="00DA4EBE">
        <w:rPr>
          <w:rFonts w:ascii="Times New Roman" w:hAnsi="Times New Roman"/>
        </w:rPr>
        <w:t xml:space="preserve"> </w:t>
      </w:r>
      <w:r w:rsidR="00F06131">
        <w:rPr>
          <w:rFonts w:ascii="Times New Roman" w:hAnsi="Times New Roman"/>
        </w:rPr>
        <w:t>237</w:t>
      </w:r>
      <w:r w:rsidR="00DA4EBE" w:rsidRPr="00F06131">
        <w:rPr>
          <w:rFonts w:ascii="Times New Roman" w:hAnsi="Times New Roman"/>
        </w:rPr>
        <w:t xml:space="preserve"> </w:t>
      </w:r>
      <w:r w:rsidR="00E27734">
        <w:rPr>
          <w:rFonts w:ascii="Times New Roman" w:hAnsi="Times New Roman"/>
        </w:rPr>
        <w:t xml:space="preserve">customers, representing approximately </w:t>
      </w:r>
      <w:r w:rsidR="00F06131">
        <w:rPr>
          <w:rFonts w:ascii="Times New Roman" w:hAnsi="Times New Roman"/>
        </w:rPr>
        <w:t>20</w:t>
      </w:r>
      <w:r w:rsidR="00E27734">
        <w:rPr>
          <w:rFonts w:ascii="Times New Roman" w:hAnsi="Times New Roman"/>
        </w:rPr>
        <w:t>% of total sewer customers, have removed their water softeners</w:t>
      </w:r>
      <w:r w:rsidR="00E83944">
        <w:rPr>
          <w:rFonts w:ascii="Times New Roman" w:hAnsi="Times New Roman"/>
        </w:rPr>
        <w:t xml:space="preserve"> </w:t>
      </w:r>
      <w:r w:rsidR="00776574">
        <w:rPr>
          <w:rFonts w:ascii="Times New Roman" w:hAnsi="Times New Roman"/>
        </w:rPr>
        <w:t xml:space="preserve">through the program </w:t>
      </w:r>
      <w:r w:rsidR="00DA4EBE">
        <w:rPr>
          <w:rFonts w:ascii="Times New Roman" w:hAnsi="Times New Roman"/>
        </w:rPr>
        <w:t xml:space="preserve">since the </w:t>
      </w:r>
      <w:proofErr w:type="spellStart"/>
      <w:r w:rsidR="00DA4EBE">
        <w:rPr>
          <w:rFonts w:ascii="Times New Roman" w:hAnsi="Times New Roman"/>
        </w:rPr>
        <w:t>Lessalt</w:t>
      </w:r>
      <w:proofErr w:type="spellEnd"/>
      <w:r w:rsidR="00DA4EBE">
        <w:rPr>
          <w:rFonts w:ascii="Times New Roman" w:hAnsi="Times New Roman"/>
        </w:rPr>
        <w:t xml:space="preserve"> WTP Upgrade</w:t>
      </w:r>
      <w:r w:rsidR="00E27734">
        <w:rPr>
          <w:rFonts w:ascii="Times New Roman" w:hAnsi="Times New Roman"/>
        </w:rPr>
        <w:t xml:space="preserve"> in 2014</w:t>
      </w:r>
      <w:r w:rsidR="001164DD">
        <w:rPr>
          <w:rFonts w:ascii="Times New Roman" w:hAnsi="Times New Roman"/>
        </w:rPr>
        <w:t>.</w:t>
      </w:r>
      <w:r w:rsidR="00E27734">
        <w:rPr>
          <w:rFonts w:ascii="Times New Roman" w:hAnsi="Times New Roman"/>
        </w:rPr>
        <w:t xml:space="preserve">  </w:t>
      </w:r>
      <w:r w:rsidR="001164DD">
        <w:rPr>
          <w:rFonts w:ascii="Times New Roman" w:hAnsi="Times New Roman"/>
        </w:rPr>
        <w:t>Additionally, in</w:t>
      </w:r>
      <w:r w:rsidR="005922B6" w:rsidRPr="00DC0C2F">
        <w:rPr>
          <w:rFonts w:ascii="Times New Roman" w:hAnsi="Times New Roman"/>
        </w:rPr>
        <w:t xml:space="preserve"> February 2015 the District adopted new codes prohibiting the replacement and/or installation of brine discharging water softeners.  The water softener education and r</w:t>
      </w:r>
      <w:r w:rsidR="00B1286A">
        <w:rPr>
          <w:rFonts w:ascii="Times New Roman" w:hAnsi="Times New Roman"/>
        </w:rPr>
        <w:t>ebate plan will continue in 2020</w:t>
      </w:r>
      <w:r w:rsidR="008C3A59">
        <w:rPr>
          <w:rFonts w:ascii="Times New Roman" w:hAnsi="Times New Roman"/>
        </w:rPr>
        <w:t xml:space="preserve"> and future years. Looking at the current trend, these efforts are</w:t>
      </w:r>
      <w:r w:rsidR="001164DD">
        <w:rPr>
          <w:rFonts w:ascii="Times New Roman" w:hAnsi="Times New Roman"/>
        </w:rPr>
        <w:t xml:space="preserve"> expected </w:t>
      </w:r>
      <w:r w:rsidR="005922B6" w:rsidRPr="00DC0C2F">
        <w:rPr>
          <w:rFonts w:ascii="Times New Roman" w:hAnsi="Times New Roman"/>
        </w:rPr>
        <w:t>to bring the District into compliance with the wastewat</w:t>
      </w:r>
      <w:r w:rsidR="006F0129">
        <w:rPr>
          <w:rFonts w:ascii="Times New Roman" w:hAnsi="Times New Roman"/>
        </w:rPr>
        <w:t xml:space="preserve">er effluent requirements </w:t>
      </w:r>
      <w:r w:rsidR="008C3A59">
        <w:rPr>
          <w:rFonts w:ascii="Times New Roman" w:hAnsi="Times New Roman"/>
        </w:rPr>
        <w:t>for Chloride in 2021</w:t>
      </w:r>
      <w:r w:rsidR="005922B6" w:rsidRPr="00DC0C2F">
        <w:rPr>
          <w:rFonts w:ascii="Times New Roman" w:hAnsi="Times New Roman"/>
        </w:rPr>
        <w:t xml:space="preserve">.  </w:t>
      </w:r>
    </w:p>
    <w:p w:rsidR="00B1286A" w:rsidRPr="00DC0C2F" w:rsidRDefault="00B1286A" w:rsidP="00C075CF">
      <w:pPr>
        <w:rPr>
          <w:rFonts w:ascii="Times New Roman" w:hAnsi="Times New Roman"/>
        </w:rPr>
      </w:pPr>
    </w:p>
    <w:p w:rsidR="002031BC" w:rsidRDefault="002031BC" w:rsidP="00C075CF">
      <w:pPr>
        <w:rPr>
          <w:rFonts w:ascii="Times New Roman" w:hAnsi="Times New Roman"/>
        </w:rPr>
      </w:pPr>
    </w:p>
    <w:p w:rsidR="00F06131" w:rsidRDefault="00F06131" w:rsidP="00C075CF">
      <w:pPr>
        <w:rPr>
          <w:rFonts w:ascii="Times New Roman" w:hAnsi="Times New Roman"/>
        </w:rPr>
      </w:pPr>
    </w:p>
    <w:p w:rsidR="00F06131" w:rsidRDefault="00F06131" w:rsidP="00C075CF">
      <w:pPr>
        <w:rPr>
          <w:rFonts w:ascii="Times New Roman" w:hAnsi="Times New Roman"/>
        </w:rPr>
      </w:pPr>
    </w:p>
    <w:p w:rsidR="00F06131" w:rsidRDefault="00F06131" w:rsidP="00C075CF">
      <w:pPr>
        <w:rPr>
          <w:rFonts w:ascii="Times New Roman" w:hAnsi="Times New Roman"/>
        </w:rPr>
      </w:pPr>
    </w:p>
    <w:p w:rsidR="00F06131" w:rsidRDefault="00F06131" w:rsidP="00C075CF">
      <w:pPr>
        <w:rPr>
          <w:rFonts w:ascii="Times New Roman" w:hAnsi="Times New Roman"/>
        </w:rPr>
      </w:pPr>
    </w:p>
    <w:p w:rsidR="00F06131" w:rsidRDefault="00F06131" w:rsidP="00C075CF">
      <w:pPr>
        <w:rPr>
          <w:rFonts w:ascii="Times New Roman" w:hAnsi="Times New Roman"/>
        </w:rPr>
      </w:pPr>
    </w:p>
    <w:p w:rsidR="00F06131" w:rsidRPr="00DC0C2F" w:rsidRDefault="00F06131" w:rsidP="00C075CF">
      <w:pPr>
        <w:rPr>
          <w:rFonts w:ascii="Times New Roman" w:hAnsi="Times New Roman"/>
        </w:rPr>
      </w:pPr>
    </w:p>
    <w:p w:rsidR="002031BC" w:rsidRPr="00DC0C2F" w:rsidRDefault="002031BC" w:rsidP="001E6A67">
      <w:pPr>
        <w:tabs>
          <w:tab w:val="left" w:pos="4050"/>
          <w:tab w:val="left" w:pos="4320"/>
        </w:tabs>
        <w:rPr>
          <w:rFonts w:ascii="Times New Roman" w:hAnsi="Times New Roman"/>
          <w:b/>
          <w:sz w:val="24"/>
          <w:u w:val="single"/>
        </w:rPr>
      </w:pPr>
      <w:r w:rsidRPr="00DC0C2F">
        <w:rPr>
          <w:rFonts w:ascii="Times New Roman" w:hAnsi="Times New Roman"/>
          <w:b/>
          <w:sz w:val="24"/>
          <w:u w:val="single"/>
        </w:rPr>
        <w:lastRenderedPageBreak/>
        <w:t>COORDINATED WATER SUPPLY AND TREATMENT PLAN SCHEDULE</w:t>
      </w:r>
    </w:p>
    <w:p w:rsidR="002031BC" w:rsidRPr="00DC0C2F" w:rsidRDefault="002031BC" w:rsidP="00C075CF">
      <w:pPr>
        <w:rPr>
          <w:rFonts w:ascii="Times New Roman" w:hAnsi="Times New Roman"/>
        </w:rPr>
      </w:pPr>
    </w:p>
    <w:p w:rsidR="002031BC" w:rsidRPr="00DC0C2F" w:rsidRDefault="002031BC" w:rsidP="001E6A67">
      <w:pPr>
        <w:tabs>
          <w:tab w:val="left" w:pos="4050"/>
          <w:tab w:val="left" w:pos="4320"/>
        </w:tabs>
        <w:ind w:left="4410" w:hanging="4410"/>
        <w:rPr>
          <w:rFonts w:ascii="Times New Roman" w:hAnsi="Times New Roman"/>
        </w:rPr>
      </w:pPr>
      <w:proofErr w:type="spellStart"/>
      <w:r w:rsidRPr="00DC0C2F">
        <w:rPr>
          <w:rFonts w:ascii="Times New Roman" w:hAnsi="Times New Roman"/>
          <w:b/>
        </w:rPr>
        <w:t>Lessalt</w:t>
      </w:r>
      <w:proofErr w:type="spellEnd"/>
      <w:r w:rsidRPr="00DC0C2F">
        <w:rPr>
          <w:rFonts w:ascii="Times New Roman" w:hAnsi="Times New Roman"/>
          <w:b/>
        </w:rPr>
        <w:t xml:space="preserve"> Water Treatment Plant Upgrade</w:t>
      </w:r>
      <w:r w:rsidR="00852C74" w:rsidRPr="00DC0C2F">
        <w:rPr>
          <w:rFonts w:ascii="Times New Roman" w:hAnsi="Times New Roman"/>
          <w:b/>
        </w:rPr>
        <w:tab/>
      </w:r>
      <w:r w:rsidRPr="00DC0C2F">
        <w:rPr>
          <w:rFonts w:ascii="Times New Roman" w:hAnsi="Times New Roman"/>
        </w:rPr>
        <w:t>-</w:t>
      </w:r>
      <w:r w:rsidRPr="00DC0C2F">
        <w:rPr>
          <w:rFonts w:ascii="Times New Roman" w:hAnsi="Times New Roman"/>
        </w:rPr>
        <w:tab/>
      </w:r>
      <w:r w:rsidR="003D37CB" w:rsidRPr="00DC0C2F">
        <w:rPr>
          <w:rFonts w:ascii="Times New Roman" w:hAnsi="Times New Roman"/>
        </w:rPr>
        <w:t>C</w:t>
      </w:r>
      <w:r w:rsidRPr="00DC0C2F">
        <w:rPr>
          <w:rFonts w:ascii="Times New Roman" w:hAnsi="Times New Roman"/>
        </w:rPr>
        <w:t>omplete</w:t>
      </w:r>
      <w:r w:rsidR="00616F36">
        <w:rPr>
          <w:rFonts w:ascii="Times New Roman" w:hAnsi="Times New Roman"/>
        </w:rPr>
        <w:t>d</w:t>
      </w:r>
      <w:r w:rsidRPr="00DC0C2F">
        <w:rPr>
          <w:rFonts w:ascii="Times New Roman" w:hAnsi="Times New Roman"/>
        </w:rPr>
        <w:t xml:space="preserve"> and operational December</w:t>
      </w:r>
      <w:r w:rsidR="001E6A67" w:rsidRPr="00DC0C2F">
        <w:rPr>
          <w:rFonts w:ascii="Times New Roman" w:hAnsi="Times New Roman"/>
        </w:rPr>
        <w:t xml:space="preserve"> </w:t>
      </w:r>
      <w:r w:rsidRPr="00DC0C2F">
        <w:rPr>
          <w:rFonts w:ascii="Times New Roman" w:hAnsi="Times New Roman"/>
        </w:rPr>
        <w:t>2014.</w:t>
      </w:r>
    </w:p>
    <w:p w:rsidR="007762C5" w:rsidRPr="001B4ADE" w:rsidRDefault="001E6A67" w:rsidP="001B4ADE">
      <w:pPr>
        <w:numPr>
          <w:ilvl w:val="0"/>
          <w:numId w:val="40"/>
        </w:numPr>
        <w:tabs>
          <w:tab w:val="left" w:pos="4050"/>
          <w:tab w:val="left" w:pos="4320"/>
        </w:tabs>
        <w:rPr>
          <w:rFonts w:ascii="Times New Roman" w:hAnsi="Times New Roman"/>
        </w:rPr>
      </w:pPr>
      <w:r w:rsidRPr="00DC0C2F">
        <w:rPr>
          <w:rFonts w:ascii="Times New Roman" w:hAnsi="Times New Roman"/>
        </w:rPr>
        <w:t>High quality drinking water is being delivered to the District’s wastewat</w:t>
      </w:r>
      <w:r w:rsidR="00C5193C">
        <w:rPr>
          <w:rFonts w:ascii="Times New Roman" w:hAnsi="Times New Roman"/>
        </w:rPr>
        <w:t>er customers.</w:t>
      </w:r>
      <w:r w:rsidR="007762C5" w:rsidRPr="001B4ADE">
        <w:rPr>
          <w:rFonts w:ascii="Times New Roman" w:hAnsi="Times New Roman"/>
        </w:rPr>
        <w:tab/>
      </w:r>
    </w:p>
    <w:p w:rsidR="002031BC" w:rsidRPr="00DC0C2F" w:rsidRDefault="002031BC" w:rsidP="00C075CF">
      <w:pPr>
        <w:rPr>
          <w:rFonts w:ascii="Times New Roman" w:hAnsi="Times New Roman"/>
        </w:rPr>
      </w:pPr>
    </w:p>
    <w:p w:rsidR="002031BC" w:rsidRPr="00DC0C2F" w:rsidRDefault="002031BC" w:rsidP="00852C74">
      <w:pPr>
        <w:tabs>
          <w:tab w:val="left" w:pos="4050"/>
          <w:tab w:val="left" w:pos="4320"/>
        </w:tabs>
        <w:rPr>
          <w:rFonts w:ascii="Times New Roman" w:hAnsi="Times New Roman"/>
        </w:rPr>
      </w:pPr>
      <w:r w:rsidRPr="00DC0C2F">
        <w:rPr>
          <w:rFonts w:ascii="Times New Roman" w:hAnsi="Times New Roman"/>
          <w:b/>
        </w:rPr>
        <w:t>West Hills Water Treatment Plant</w:t>
      </w:r>
      <w:r w:rsidRPr="00DC0C2F">
        <w:rPr>
          <w:rFonts w:ascii="Times New Roman" w:hAnsi="Times New Roman"/>
        </w:rPr>
        <w:tab/>
        <w:t>-</w:t>
      </w:r>
      <w:r w:rsidRPr="00DC0C2F">
        <w:rPr>
          <w:rFonts w:ascii="Times New Roman" w:hAnsi="Times New Roman"/>
        </w:rPr>
        <w:tab/>
        <w:t>EIR complete</w:t>
      </w:r>
      <w:r w:rsidR="00616F36">
        <w:rPr>
          <w:rFonts w:ascii="Times New Roman" w:hAnsi="Times New Roman"/>
        </w:rPr>
        <w:t>d and certified April 2014</w:t>
      </w:r>
      <w:r w:rsidR="007762C5" w:rsidRPr="00DC0C2F">
        <w:rPr>
          <w:rFonts w:ascii="Times New Roman" w:hAnsi="Times New Roman"/>
        </w:rPr>
        <w:t>.</w:t>
      </w:r>
    </w:p>
    <w:p w:rsidR="001E6A67" w:rsidRPr="00DC0C2F" w:rsidRDefault="001E6A67" w:rsidP="001E6A67">
      <w:pPr>
        <w:numPr>
          <w:ilvl w:val="0"/>
          <w:numId w:val="40"/>
        </w:numPr>
        <w:tabs>
          <w:tab w:val="left" w:pos="4050"/>
          <w:tab w:val="left" w:pos="4320"/>
        </w:tabs>
        <w:rPr>
          <w:rFonts w:ascii="Times New Roman" w:hAnsi="Times New Roman"/>
        </w:rPr>
      </w:pPr>
      <w:r w:rsidRPr="00DC0C2F">
        <w:rPr>
          <w:rFonts w:ascii="Times New Roman" w:hAnsi="Times New Roman"/>
        </w:rPr>
        <w:t>Design and Specifications complete December 2014.</w:t>
      </w:r>
    </w:p>
    <w:p w:rsidR="001E6A67" w:rsidRPr="00DC0C2F" w:rsidRDefault="001E6A67" w:rsidP="001E6A67">
      <w:pPr>
        <w:numPr>
          <w:ilvl w:val="0"/>
          <w:numId w:val="40"/>
        </w:numPr>
        <w:tabs>
          <w:tab w:val="left" w:pos="4050"/>
          <w:tab w:val="left" w:pos="4320"/>
        </w:tabs>
        <w:rPr>
          <w:rFonts w:ascii="Times New Roman" w:hAnsi="Times New Roman"/>
        </w:rPr>
      </w:pPr>
      <w:r w:rsidRPr="00DC0C2F">
        <w:rPr>
          <w:rFonts w:ascii="Times New Roman" w:hAnsi="Times New Roman"/>
        </w:rPr>
        <w:t>Construction beg</w:t>
      </w:r>
      <w:r w:rsidR="003D37CB" w:rsidRPr="00DC0C2F">
        <w:rPr>
          <w:rFonts w:ascii="Times New Roman" w:hAnsi="Times New Roman"/>
        </w:rPr>
        <w:t>a</w:t>
      </w:r>
      <w:r w:rsidRPr="00DC0C2F">
        <w:rPr>
          <w:rFonts w:ascii="Times New Roman" w:hAnsi="Times New Roman"/>
        </w:rPr>
        <w:t xml:space="preserve">n </w:t>
      </w:r>
      <w:r w:rsidR="003D37CB" w:rsidRPr="00DC0C2F">
        <w:rPr>
          <w:rFonts w:ascii="Times New Roman" w:hAnsi="Times New Roman"/>
        </w:rPr>
        <w:t>September</w:t>
      </w:r>
      <w:r w:rsidRPr="00DC0C2F">
        <w:rPr>
          <w:rFonts w:ascii="Times New Roman" w:hAnsi="Times New Roman"/>
        </w:rPr>
        <w:t xml:space="preserve"> 2015.</w:t>
      </w:r>
    </w:p>
    <w:p w:rsidR="001E6A67" w:rsidRDefault="00102346" w:rsidP="001E6A67">
      <w:pPr>
        <w:numPr>
          <w:ilvl w:val="0"/>
          <w:numId w:val="40"/>
        </w:numPr>
        <w:tabs>
          <w:tab w:val="left" w:pos="4050"/>
          <w:tab w:val="left" w:pos="4320"/>
        </w:tabs>
        <w:rPr>
          <w:rFonts w:ascii="Times New Roman" w:hAnsi="Times New Roman"/>
        </w:rPr>
      </w:pPr>
      <w:r>
        <w:rPr>
          <w:rFonts w:ascii="Times New Roman" w:hAnsi="Times New Roman"/>
        </w:rPr>
        <w:t>Project complete</w:t>
      </w:r>
      <w:r w:rsidR="00616F36">
        <w:rPr>
          <w:rFonts w:ascii="Times New Roman" w:hAnsi="Times New Roman"/>
        </w:rPr>
        <w:t>d</w:t>
      </w:r>
      <w:r w:rsidR="001E6A67" w:rsidRPr="00DC0C2F">
        <w:rPr>
          <w:rFonts w:ascii="Times New Roman" w:hAnsi="Times New Roman"/>
        </w:rPr>
        <w:t xml:space="preserve"> </w:t>
      </w:r>
      <w:r>
        <w:rPr>
          <w:rFonts w:ascii="Times New Roman" w:hAnsi="Times New Roman"/>
        </w:rPr>
        <w:t>September</w:t>
      </w:r>
      <w:r w:rsidR="001E6A67" w:rsidRPr="00DC0C2F">
        <w:rPr>
          <w:rFonts w:ascii="Times New Roman" w:hAnsi="Times New Roman"/>
        </w:rPr>
        <w:t xml:space="preserve"> 2017.</w:t>
      </w:r>
    </w:p>
    <w:p w:rsidR="00102346" w:rsidRDefault="00102346" w:rsidP="001E6A67">
      <w:pPr>
        <w:numPr>
          <w:ilvl w:val="0"/>
          <w:numId w:val="40"/>
        </w:numPr>
        <w:tabs>
          <w:tab w:val="left" w:pos="4050"/>
          <w:tab w:val="left" w:pos="4320"/>
        </w:tabs>
        <w:rPr>
          <w:rFonts w:ascii="Times New Roman" w:hAnsi="Times New Roman"/>
        </w:rPr>
      </w:pPr>
      <w:r>
        <w:rPr>
          <w:rFonts w:ascii="Times New Roman" w:hAnsi="Times New Roman"/>
        </w:rPr>
        <w:t xml:space="preserve">High quality drinking water is being delivered to </w:t>
      </w:r>
      <w:r w:rsidR="002A25C2">
        <w:rPr>
          <w:rFonts w:ascii="Times New Roman" w:hAnsi="Times New Roman"/>
        </w:rPr>
        <w:t xml:space="preserve">City of Hollister water system.  This allows additional </w:t>
      </w:r>
      <w:proofErr w:type="gramStart"/>
      <w:r w:rsidR="002A25C2">
        <w:rPr>
          <w:rFonts w:ascii="Times New Roman" w:hAnsi="Times New Roman"/>
        </w:rPr>
        <w:t>high quality</w:t>
      </w:r>
      <w:proofErr w:type="gramEnd"/>
      <w:r w:rsidR="002A25C2">
        <w:rPr>
          <w:rFonts w:ascii="Times New Roman" w:hAnsi="Times New Roman"/>
        </w:rPr>
        <w:t xml:space="preserve"> water from </w:t>
      </w:r>
      <w:proofErr w:type="spellStart"/>
      <w:r w:rsidR="002A25C2">
        <w:rPr>
          <w:rFonts w:ascii="Times New Roman" w:hAnsi="Times New Roman"/>
        </w:rPr>
        <w:t>Lessalt</w:t>
      </w:r>
      <w:proofErr w:type="spellEnd"/>
      <w:r w:rsidR="002A25C2">
        <w:rPr>
          <w:rFonts w:ascii="Times New Roman" w:hAnsi="Times New Roman"/>
        </w:rPr>
        <w:t xml:space="preserve"> to be directed to the District’s water and wastewater customers.</w:t>
      </w:r>
    </w:p>
    <w:p w:rsidR="002A25C2" w:rsidRDefault="002A25C2" w:rsidP="002A25C2">
      <w:pPr>
        <w:tabs>
          <w:tab w:val="left" w:pos="4050"/>
          <w:tab w:val="left" w:pos="4320"/>
        </w:tabs>
        <w:rPr>
          <w:rFonts w:ascii="Times New Roman" w:hAnsi="Times New Roman"/>
        </w:rPr>
      </w:pPr>
    </w:p>
    <w:p w:rsidR="00B1080A" w:rsidRDefault="002A25C2" w:rsidP="00C5193C">
      <w:pPr>
        <w:tabs>
          <w:tab w:val="left" w:pos="4050"/>
          <w:tab w:val="left" w:pos="4320"/>
        </w:tabs>
        <w:rPr>
          <w:rFonts w:ascii="Times New Roman" w:hAnsi="Times New Roman"/>
        </w:rPr>
      </w:pPr>
      <w:r>
        <w:rPr>
          <w:rFonts w:ascii="Times New Roman" w:hAnsi="Times New Roman"/>
          <w:b/>
        </w:rPr>
        <w:t>Crosstown Pipeline</w:t>
      </w:r>
      <w:r>
        <w:rPr>
          <w:rFonts w:ascii="Times New Roman" w:hAnsi="Times New Roman"/>
        </w:rPr>
        <w:t xml:space="preserve"> </w:t>
      </w:r>
      <w:r>
        <w:rPr>
          <w:rFonts w:ascii="Times New Roman" w:hAnsi="Times New Roman"/>
        </w:rPr>
        <w:tab/>
        <w:t>-</w:t>
      </w:r>
      <w:r>
        <w:rPr>
          <w:rFonts w:ascii="Times New Roman" w:hAnsi="Times New Roman"/>
        </w:rPr>
        <w:tab/>
      </w:r>
      <w:r w:rsidR="00B1080A">
        <w:rPr>
          <w:rFonts w:ascii="Times New Roman" w:hAnsi="Times New Roman"/>
        </w:rPr>
        <w:t>Design and Speci</w:t>
      </w:r>
      <w:r w:rsidR="00616F36">
        <w:rPr>
          <w:rFonts w:ascii="Times New Roman" w:hAnsi="Times New Roman"/>
        </w:rPr>
        <w:t>fications completed May</w:t>
      </w:r>
      <w:r w:rsidR="00B1080A">
        <w:rPr>
          <w:rFonts w:ascii="Times New Roman" w:hAnsi="Times New Roman"/>
        </w:rPr>
        <w:t xml:space="preserve"> 2018.</w:t>
      </w:r>
    </w:p>
    <w:p w:rsidR="00826AA8" w:rsidRDefault="00826AA8" w:rsidP="00B1080A">
      <w:pPr>
        <w:numPr>
          <w:ilvl w:val="0"/>
          <w:numId w:val="40"/>
        </w:numPr>
        <w:tabs>
          <w:tab w:val="left" w:pos="4050"/>
          <w:tab w:val="left" w:pos="4320"/>
        </w:tabs>
        <w:rPr>
          <w:rFonts w:ascii="Times New Roman" w:hAnsi="Times New Roman"/>
        </w:rPr>
      </w:pPr>
      <w:r>
        <w:rPr>
          <w:rFonts w:ascii="Times New Roman" w:hAnsi="Times New Roman"/>
        </w:rPr>
        <w:t>Construction began July 2018</w:t>
      </w:r>
    </w:p>
    <w:p w:rsidR="00B1080A" w:rsidRDefault="00826AA8" w:rsidP="00B1080A">
      <w:pPr>
        <w:numPr>
          <w:ilvl w:val="0"/>
          <w:numId w:val="40"/>
        </w:numPr>
        <w:tabs>
          <w:tab w:val="left" w:pos="4050"/>
          <w:tab w:val="left" w:pos="4320"/>
        </w:tabs>
        <w:rPr>
          <w:rFonts w:ascii="Times New Roman" w:hAnsi="Times New Roman"/>
        </w:rPr>
      </w:pPr>
      <w:r>
        <w:rPr>
          <w:rFonts w:ascii="Times New Roman" w:hAnsi="Times New Roman"/>
        </w:rPr>
        <w:t>Project</w:t>
      </w:r>
      <w:r w:rsidR="00B1080A">
        <w:rPr>
          <w:rFonts w:ascii="Times New Roman" w:hAnsi="Times New Roman"/>
        </w:rPr>
        <w:t xml:space="preserve"> </w:t>
      </w:r>
      <w:r w:rsidR="00C6213D">
        <w:rPr>
          <w:rFonts w:ascii="Times New Roman" w:hAnsi="Times New Roman"/>
        </w:rPr>
        <w:t>was</w:t>
      </w:r>
      <w:r w:rsidR="00B1080A">
        <w:rPr>
          <w:rFonts w:ascii="Times New Roman" w:hAnsi="Times New Roman"/>
        </w:rPr>
        <w:t xml:space="preserve"> completed </w:t>
      </w:r>
      <w:r w:rsidR="00C6213D">
        <w:rPr>
          <w:rFonts w:ascii="Times New Roman" w:hAnsi="Times New Roman"/>
        </w:rPr>
        <w:t>September 2019</w:t>
      </w:r>
      <w:r w:rsidR="00B1080A">
        <w:rPr>
          <w:rFonts w:ascii="Times New Roman" w:hAnsi="Times New Roman"/>
        </w:rPr>
        <w:t>.</w:t>
      </w:r>
    </w:p>
    <w:p w:rsidR="00C5193C" w:rsidRDefault="00C5193C" w:rsidP="00B1080A">
      <w:pPr>
        <w:numPr>
          <w:ilvl w:val="0"/>
          <w:numId w:val="40"/>
        </w:numPr>
        <w:tabs>
          <w:tab w:val="left" w:pos="4050"/>
          <w:tab w:val="left" w:pos="4320"/>
        </w:tabs>
        <w:rPr>
          <w:rFonts w:ascii="Times New Roman" w:hAnsi="Times New Roman"/>
        </w:rPr>
      </w:pPr>
      <w:r>
        <w:rPr>
          <w:rFonts w:ascii="Times New Roman" w:hAnsi="Times New Roman"/>
        </w:rPr>
        <w:t xml:space="preserve">This </w:t>
      </w:r>
      <w:r w:rsidR="00CF55C4">
        <w:rPr>
          <w:rFonts w:ascii="Times New Roman" w:hAnsi="Times New Roman"/>
        </w:rPr>
        <w:t>infrastructure now allows</w:t>
      </w:r>
      <w:r>
        <w:rPr>
          <w:rFonts w:ascii="Times New Roman" w:hAnsi="Times New Roman"/>
        </w:rPr>
        <w:t xml:space="preserve"> water from West Hills to be delivered to the District’ water and wastewater customers</w:t>
      </w:r>
    </w:p>
    <w:p w:rsidR="00C5193C" w:rsidRDefault="00C5193C" w:rsidP="00C5193C">
      <w:pPr>
        <w:tabs>
          <w:tab w:val="left" w:pos="4050"/>
          <w:tab w:val="left" w:pos="4320"/>
        </w:tabs>
        <w:rPr>
          <w:rFonts w:ascii="Times New Roman" w:hAnsi="Times New Roman"/>
        </w:rPr>
      </w:pPr>
    </w:p>
    <w:p w:rsidR="002E51AD" w:rsidRDefault="00616F36" w:rsidP="00F06131">
      <w:pPr>
        <w:tabs>
          <w:tab w:val="left" w:pos="4050"/>
          <w:tab w:val="left" w:pos="4320"/>
        </w:tabs>
        <w:ind w:left="4320" w:hanging="4050"/>
        <w:rPr>
          <w:rFonts w:ascii="Times New Roman" w:hAnsi="Times New Roman"/>
        </w:rPr>
      </w:pPr>
      <w:r>
        <w:rPr>
          <w:rFonts w:ascii="Times New Roman" w:hAnsi="Times New Roman"/>
          <w:b/>
        </w:rPr>
        <w:t>North County Groundwater Bank</w:t>
      </w:r>
      <w:r>
        <w:rPr>
          <w:rFonts w:ascii="Times New Roman" w:hAnsi="Times New Roman"/>
        </w:rPr>
        <w:t xml:space="preserve"> </w:t>
      </w:r>
      <w:r>
        <w:rPr>
          <w:rFonts w:ascii="Times New Roman" w:hAnsi="Times New Roman"/>
        </w:rPr>
        <w:tab/>
        <w:t>-</w:t>
      </w:r>
      <w:r>
        <w:rPr>
          <w:rFonts w:ascii="Times New Roman" w:hAnsi="Times New Roman"/>
        </w:rPr>
        <w:tab/>
      </w:r>
      <w:r w:rsidR="00F06131">
        <w:rPr>
          <w:rFonts w:ascii="Times New Roman" w:hAnsi="Times New Roman"/>
        </w:rPr>
        <w:t xml:space="preserve">Phase 1 </w:t>
      </w:r>
      <w:r w:rsidR="00C718CA">
        <w:rPr>
          <w:rFonts w:ascii="Times New Roman" w:hAnsi="Times New Roman"/>
        </w:rPr>
        <w:t>Feasib</w:t>
      </w:r>
      <w:r w:rsidR="00E33DF9">
        <w:rPr>
          <w:rFonts w:ascii="Times New Roman" w:hAnsi="Times New Roman"/>
        </w:rPr>
        <w:t>ility study to evalua</w:t>
      </w:r>
      <w:r w:rsidR="00F06131">
        <w:rPr>
          <w:rFonts w:ascii="Times New Roman" w:hAnsi="Times New Roman"/>
        </w:rPr>
        <w:t xml:space="preserve">te the water quality and quantity available </w:t>
      </w:r>
      <w:r w:rsidR="002E51AD">
        <w:rPr>
          <w:rFonts w:ascii="Times New Roman" w:hAnsi="Times New Roman"/>
        </w:rPr>
        <w:t xml:space="preserve">and overall benefit </w:t>
      </w:r>
      <w:r w:rsidR="00F06131">
        <w:rPr>
          <w:rFonts w:ascii="Times New Roman" w:hAnsi="Times New Roman"/>
        </w:rPr>
        <w:t>from this project</w:t>
      </w:r>
      <w:r w:rsidR="002E51AD">
        <w:rPr>
          <w:rFonts w:ascii="Times New Roman" w:hAnsi="Times New Roman"/>
        </w:rPr>
        <w:t xml:space="preserve"> began in late 2019</w:t>
      </w:r>
      <w:r w:rsidR="00F06131">
        <w:rPr>
          <w:rFonts w:ascii="Times New Roman" w:hAnsi="Times New Roman"/>
        </w:rPr>
        <w:t xml:space="preserve">. </w:t>
      </w:r>
    </w:p>
    <w:p w:rsidR="00E27734" w:rsidRPr="002E51AD" w:rsidRDefault="00F06131" w:rsidP="002E51AD">
      <w:pPr>
        <w:pStyle w:val="ListParagraph"/>
        <w:numPr>
          <w:ilvl w:val="0"/>
          <w:numId w:val="40"/>
        </w:numPr>
        <w:tabs>
          <w:tab w:val="left" w:pos="4050"/>
          <w:tab w:val="left" w:pos="4320"/>
        </w:tabs>
        <w:rPr>
          <w:rFonts w:ascii="Times New Roman" w:hAnsi="Times New Roman"/>
        </w:rPr>
      </w:pPr>
      <w:r w:rsidRPr="002E51AD">
        <w:rPr>
          <w:rFonts w:ascii="Times New Roman" w:hAnsi="Times New Roman"/>
        </w:rPr>
        <w:t xml:space="preserve">It will also consider </w:t>
      </w:r>
      <w:r w:rsidR="002E51AD">
        <w:rPr>
          <w:rFonts w:ascii="Times New Roman" w:hAnsi="Times New Roman"/>
        </w:rPr>
        <w:t xml:space="preserve">various </w:t>
      </w:r>
      <w:r w:rsidRPr="002E51AD">
        <w:rPr>
          <w:rFonts w:ascii="Times New Roman" w:hAnsi="Times New Roman"/>
        </w:rPr>
        <w:t xml:space="preserve">engineering, </w:t>
      </w:r>
      <w:r w:rsidR="00E33DF9" w:rsidRPr="002E51AD">
        <w:rPr>
          <w:rFonts w:ascii="Times New Roman" w:hAnsi="Times New Roman"/>
        </w:rPr>
        <w:t>financing, environment</w:t>
      </w:r>
      <w:r w:rsidRPr="002E51AD">
        <w:rPr>
          <w:rFonts w:ascii="Times New Roman" w:hAnsi="Times New Roman"/>
        </w:rPr>
        <w:t>al, and political options</w:t>
      </w:r>
      <w:r w:rsidR="002E51AD">
        <w:rPr>
          <w:rFonts w:ascii="Times New Roman" w:hAnsi="Times New Roman"/>
        </w:rPr>
        <w:t xml:space="preserve"> to solve multiple regional issues</w:t>
      </w:r>
      <w:r w:rsidR="00C5193C" w:rsidRPr="002E51AD">
        <w:rPr>
          <w:rFonts w:ascii="Times New Roman" w:hAnsi="Times New Roman"/>
        </w:rPr>
        <w:t>.</w:t>
      </w:r>
    </w:p>
    <w:p w:rsidR="00E27734" w:rsidRDefault="00E27734" w:rsidP="00C5193C">
      <w:pPr>
        <w:tabs>
          <w:tab w:val="left" w:pos="4050"/>
          <w:tab w:val="left" w:pos="4320"/>
        </w:tabs>
        <w:rPr>
          <w:rFonts w:ascii="Times New Roman" w:hAnsi="Times New Roman"/>
        </w:rPr>
      </w:pPr>
    </w:p>
    <w:p w:rsidR="00B640E0" w:rsidRPr="00DC0C2F" w:rsidRDefault="00B640E0" w:rsidP="001F5A7A">
      <w:pPr>
        <w:pStyle w:val="Heading1"/>
        <w:numPr>
          <w:ilvl w:val="0"/>
          <w:numId w:val="0"/>
        </w:numPr>
        <w:rPr>
          <w:color w:val="auto"/>
        </w:rPr>
      </w:pPr>
      <w:r w:rsidRPr="00DC0C2F">
        <w:rPr>
          <w:color w:val="auto"/>
        </w:rPr>
        <w:t>References</w:t>
      </w:r>
    </w:p>
    <w:bookmarkEnd w:id="21"/>
    <w:bookmarkEnd w:id="22"/>
    <w:p w:rsidR="00670B82" w:rsidRPr="00DC0C2F" w:rsidRDefault="00670B82" w:rsidP="00670B82">
      <w:pPr>
        <w:pStyle w:val="BodyText"/>
        <w:ind w:left="432" w:hanging="432"/>
        <w:rPr>
          <w:sz w:val="18"/>
          <w:szCs w:val="18"/>
        </w:rPr>
      </w:pPr>
      <w:r w:rsidRPr="00DC0C2F">
        <w:rPr>
          <w:sz w:val="18"/>
          <w:szCs w:val="18"/>
        </w:rPr>
        <w:t xml:space="preserve">City of Hollister, San Benito County, San Benito County Water District.  </w:t>
      </w:r>
      <w:r w:rsidRPr="00DC0C2F">
        <w:rPr>
          <w:i/>
          <w:sz w:val="18"/>
          <w:szCs w:val="18"/>
        </w:rPr>
        <w:t xml:space="preserve">Memorandum of Understanding Hollister Urban Area Water and Wastewater Management Plan. </w:t>
      </w:r>
      <w:r w:rsidRPr="00DC0C2F">
        <w:rPr>
          <w:sz w:val="18"/>
          <w:szCs w:val="18"/>
        </w:rPr>
        <w:t>December 2004.</w:t>
      </w:r>
    </w:p>
    <w:p w:rsidR="00670B82" w:rsidRPr="00DC0C2F" w:rsidRDefault="00670B82" w:rsidP="00670B82">
      <w:pPr>
        <w:pStyle w:val="BodyText"/>
        <w:rPr>
          <w:sz w:val="18"/>
          <w:szCs w:val="18"/>
        </w:rPr>
      </w:pPr>
      <w:r w:rsidRPr="00DC0C2F">
        <w:rPr>
          <w:sz w:val="18"/>
          <w:szCs w:val="18"/>
        </w:rPr>
        <w:t>Department of Water Resources. Bulletin 73-79.</w:t>
      </w:r>
    </w:p>
    <w:p w:rsidR="001E0939" w:rsidRPr="00DC0C2F" w:rsidRDefault="001E0939" w:rsidP="001E0939">
      <w:pPr>
        <w:pStyle w:val="BodyText"/>
        <w:ind w:left="432" w:hanging="432"/>
        <w:rPr>
          <w:b/>
          <w:sz w:val="18"/>
          <w:szCs w:val="18"/>
          <w:u w:val="single"/>
        </w:rPr>
      </w:pPr>
      <w:r w:rsidRPr="00DC0C2F">
        <w:rPr>
          <w:sz w:val="18"/>
          <w:szCs w:val="18"/>
        </w:rPr>
        <w:t>HDR and RMC</w:t>
      </w:r>
      <w:r w:rsidR="00C563DC" w:rsidRPr="00DC0C2F">
        <w:rPr>
          <w:sz w:val="18"/>
          <w:szCs w:val="18"/>
        </w:rPr>
        <w:t xml:space="preserve"> Water and Environment</w:t>
      </w:r>
      <w:r w:rsidR="00896906" w:rsidRPr="00DC0C2F">
        <w:rPr>
          <w:sz w:val="18"/>
          <w:szCs w:val="18"/>
        </w:rPr>
        <w:t>.</w:t>
      </w:r>
      <w:r w:rsidRPr="00DC0C2F">
        <w:rPr>
          <w:sz w:val="18"/>
          <w:szCs w:val="18"/>
        </w:rPr>
        <w:t xml:space="preserve"> November 2009 &amp; January 2010. </w:t>
      </w:r>
      <w:r w:rsidRPr="00DC0C2F">
        <w:rPr>
          <w:i/>
          <w:sz w:val="18"/>
          <w:szCs w:val="18"/>
        </w:rPr>
        <w:t xml:space="preserve">Hollister Urban Area Master Plan Implementation Program. </w:t>
      </w:r>
      <w:r w:rsidRPr="00DC0C2F">
        <w:rPr>
          <w:sz w:val="18"/>
          <w:szCs w:val="18"/>
        </w:rPr>
        <w:t>HUAWWMP Governance Committee. January 2010</w:t>
      </w:r>
    </w:p>
    <w:p w:rsidR="00670B82" w:rsidRPr="00DC0C2F" w:rsidRDefault="00670B82" w:rsidP="00670B82">
      <w:pPr>
        <w:pStyle w:val="BodyText"/>
        <w:ind w:left="432" w:hanging="432"/>
        <w:rPr>
          <w:rFonts w:cs="Arial"/>
          <w:sz w:val="18"/>
          <w:szCs w:val="18"/>
        </w:rPr>
      </w:pPr>
      <w:r w:rsidRPr="00DC0C2F">
        <w:rPr>
          <w:rFonts w:cs="Arial"/>
          <w:sz w:val="18"/>
          <w:szCs w:val="18"/>
        </w:rPr>
        <w:t xml:space="preserve">Regional Water Quality Control Board. </w:t>
      </w:r>
      <w:r w:rsidRPr="00DC0C2F">
        <w:rPr>
          <w:rFonts w:cs="Arial"/>
          <w:i/>
          <w:sz w:val="18"/>
          <w:szCs w:val="18"/>
        </w:rPr>
        <w:t>Waste Discharge Requirement (WDR) Order No. R3-2004-0065</w:t>
      </w:r>
      <w:r w:rsidRPr="00DC0C2F">
        <w:rPr>
          <w:rFonts w:cs="Arial"/>
          <w:sz w:val="18"/>
          <w:szCs w:val="18"/>
        </w:rPr>
        <w:t>. December 3, 2004.</w:t>
      </w:r>
    </w:p>
    <w:p w:rsidR="00670B82" w:rsidRPr="00DC0C2F" w:rsidRDefault="00670B82" w:rsidP="00670B82">
      <w:pPr>
        <w:pStyle w:val="BodyText"/>
        <w:ind w:left="432" w:hanging="432"/>
        <w:rPr>
          <w:sz w:val="18"/>
          <w:szCs w:val="18"/>
        </w:rPr>
      </w:pPr>
      <w:r w:rsidRPr="00DC0C2F">
        <w:rPr>
          <w:sz w:val="18"/>
          <w:szCs w:val="18"/>
        </w:rPr>
        <w:t xml:space="preserve">RMC Water and Environment.  </w:t>
      </w:r>
      <w:r w:rsidR="00252033" w:rsidRPr="00DC0C2F">
        <w:rPr>
          <w:i/>
          <w:iCs/>
          <w:sz w:val="18"/>
          <w:szCs w:val="18"/>
        </w:rPr>
        <w:t>Long-</w:t>
      </w:r>
      <w:r w:rsidRPr="00DC0C2F">
        <w:rPr>
          <w:i/>
          <w:iCs/>
          <w:sz w:val="18"/>
          <w:szCs w:val="18"/>
        </w:rPr>
        <w:t>Term Wastewater Management Plan</w:t>
      </w:r>
      <w:r w:rsidRPr="00DC0C2F">
        <w:rPr>
          <w:sz w:val="18"/>
          <w:szCs w:val="18"/>
        </w:rPr>
        <w:t>.  SSCWD. January 2006.</w:t>
      </w:r>
    </w:p>
    <w:p w:rsidR="00670B82" w:rsidRPr="00DC0C2F" w:rsidRDefault="00670B82" w:rsidP="00670B82">
      <w:pPr>
        <w:pStyle w:val="BodyText"/>
        <w:ind w:left="432" w:hanging="432"/>
        <w:rPr>
          <w:sz w:val="18"/>
          <w:szCs w:val="18"/>
        </w:rPr>
      </w:pPr>
      <w:r w:rsidRPr="00DC0C2F">
        <w:rPr>
          <w:sz w:val="18"/>
          <w:szCs w:val="18"/>
        </w:rPr>
        <w:t xml:space="preserve">RMC Water and Environment.  </w:t>
      </w:r>
      <w:r w:rsidRPr="00DC0C2F">
        <w:rPr>
          <w:i/>
          <w:iCs/>
          <w:sz w:val="18"/>
          <w:szCs w:val="18"/>
        </w:rPr>
        <w:t>200</w:t>
      </w:r>
      <w:r w:rsidR="00AD7DEB" w:rsidRPr="00DC0C2F">
        <w:rPr>
          <w:i/>
          <w:iCs/>
          <w:sz w:val="18"/>
          <w:szCs w:val="18"/>
        </w:rPr>
        <w:t>6</w:t>
      </w:r>
      <w:r w:rsidRPr="00DC0C2F">
        <w:rPr>
          <w:i/>
          <w:iCs/>
          <w:sz w:val="18"/>
          <w:szCs w:val="18"/>
        </w:rPr>
        <w:t xml:space="preserve"> Annual Salt Management Report</w:t>
      </w:r>
      <w:r w:rsidRPr="00DC0C2F">
        <w:rPr>
          <w:sz w:val="18"/>
          <w:szCs w:val="18"/>
        </w:rPr>
        <w:t>.  SSCWD. January 200</w:t>
      </w:r>
      <w:r w:rsidR="003F20F2" w:rsidRPr="00DC0C2F">
        <w:rPr>
          <w:sz w:val="18"/>
          <w:szCs w:val="18"/>
        </w:rPr>
        <w:t>7</w:t>
      </w:r>
      <w:r w:rsidRPr="00DC0C2F">
        <w:rPr>
          <w:sz w:val="18"/>
          <w:szCs w:val="18"/>
        </w:rPr>
        <w:t>.</w:t>
      </w:r>
    </w:p>
    <w:p w:rsidR="00620E43" w:rsidRPr="00DC0C2F" w:rsidRDefault="00620E43" w:rsidP="00670B82">
      <w:pPr>
        <w:pStyle w:val="BodyText"/>
        <w:ind w:left="432" w:hanging="432"/>
        <w:rPr>
          <w:sz w:val="18"/>
          <w:szCs w:val="18"/>
        </w:rPr>
      </w:pPr>
      <w:r w:rsidRPr="00DC0C2F">
        <w:rPr>
          <w:sz w:val="18"/>
          <w:szCs w:val="18"/>
        </w:rPr>
        <w:t xml:space="preserve">Sunnyslope Water District, </w:t>
      </w:r>
      <w:r w:rsidRPr="00DC0C2F">
        <w:rPr>
          <w:i/>
          <w:iCs/>
          <w:sz w:val="18"/>
          <w:szCs w:val="18"/>
        </w:rPr>
        <w:t>2007 Annual Salt Management Report</w:t>
      </w:r>
      <w:r w:rsidRPr="00DC0C2F">
        <w:rPr>
          <w:sz w:val="18"/>
          <w:szCs w:val="18"/>
        </w:rPr>
        <w:t xml:space="preserve">.  SSCWD. January </w:t>
      </w:r>
      <w:r w:rsidR="00D71A42" w:rsidRPr="00DC0C2F">
        <w:rPr>
          <w:sz w:val="18"/>
          <w:szCs w:val="18"/>
        </w:rPr>
        <w:t>200</w:t>
      </w:r>
      <w:r w:rsidR="003F6636" w:rsidRPr="00DC0C2F">
        <w:rPr>
          <w:sz w:val="18"/>
          <w:szCs w:val="18"/>
        </w:rPr>
        <w:t>8</w:t>
      </w:r>
    </w:p>
    <w:p w:rsidR="00A80DE1" w:rsidRPr="00DC0C2F" w:rsidRDefault="00670B82" w:rsidP="00620E43">
      <w:pPr>
        <w:pStyle w:val="BodyText"/>
        <w:ind w:left="432" w:hanging="432"/>
        <w:rPr>
          <w:sz w:val="18"/>
          <w:szCs w:val="18"/>
        </w:rPr>
      </w:pPr>
      <w:r w:rsidRPr="00DC0C2F">
        <w:rPr>
          <w:sz w:val="18"/>
          <w:szCs w:val="18"/>
        </w:rPr>
        <w:t xml:space="preserve">Todd Engineers.  </w:t>
      </w:r>
      <w:r w:rsidRPr="00DC0C2F">
        <w:rPr>
          <w:i/>
          <w:sz w:val="18"/>
          <w:szCs w:val="18"/>
        </w:rPr>
        <w:t>Groundwater Monitoring Well Installation Report.</w:t>
      </w:r>
      <w:r w:rsidRPr="00DC0C2F">
        <w:rPr>
          <w:sz w:val="18"/>
          <w:szCs w:val="18"/>
        </w:rPr>
        <w:t xml:space="preserve"> SSCWD. January 2006.</w:t>
      </w:r>
    </w:p>
    <w:sectPr w:rsidR="00A80DE1" w:rsidRPr="00DC0C2F" w:rsidSect="0069736A">
      <w:headerReference w:type="default" r:id="rId8"/>
      <w:footerReference w:type="default" r:id="rId9"/>
      <w:footerReference w:type="first" r:id="rId10"/>
      <w:pgSz w:w="12240" w:h="15840" w:code="1"/>
      <w:pgMar w:top="1440" w:right="1440" w:bottom="1440" w:left="1440" w:header="720" w:footer="8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63A" w:rsidRDefault="0009663A">
      <w:r>
        <w:separator/>
      </w:r>
    </w:p>
  </w:endnote>
  <w:endnote w:type="continuationSeparator" w:id="0">
    <w:p w:rsidR="0009663A" w:rsidRDefault="0009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wis721 Ex BT">
    <w:panose1 w:val="020B0605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uturis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Y="1"/>
      <w:tblOverlap w:val="never"/>
      <w:tblW w:w="5000" w:type="pct"/>
      <w:tblLook w:val="01E0" w:firstRow="1" w:lastRow="1" w:firstColumn="1" w:lastColumn="1" w:noHBand="0" w:noVBand="0"/>
    </w:tblPr>
    <w:tblGrid>
      <w:gridCol w:w="1776"/>
      <w:gridCol w:w="7155"/>
      <w:gridCol w:w="429"/>
    </w:tblGrid>
    <w:tr w:rsidR="0009663A" w:rsidTr="00975ECE">
      <w:trPr>
        <w:trHeight w:val="375"/>
      </w:trPr>
      <w:tc>
        <w:tcPr>
          <w:tcW w:w="949" w:type="pct"/>
          <w:tcBorders>
            <w:top w:val="single" w:sz="12" w:space="0" w:color="0D2B88"/>
          </w:tcBorders>
          <w:vAlign w:val="center"/>
        </w:tcPr>
        <w:p w:rsidR="0009663A" w:rsidRPr="008B54E6" w:rsidRDefault="0009663A" w:rsidP="00975ECE">
          <w:pPr>
            <w:pStyle w:val="Footer"/>
            <w:spacing w:before="60"/>
            <w:rPr>
              <w:rStyle w:val="PageNumber"/>
              <w:rFonts w:cs="Arial"/>
              <w:b w:val="0"/>
            </w:rPr>
          </w:pPr>
          <w:r w:rsidRPr="008B54E6">
            <w:rPr>
              <w:rStyle w:val="PageNumber"/>
              <w:noProof/>
            </w:rPr>
            <mc:AlternateContent>
              <mc:Choice Requires="wps">
                <w:drawing>
                  <wp:anchor distT="0" distB="0" distL="114300" distR="114300" simplePos="0" relativeHeight="251658240" behindDoc="1" locked="0" layoutInCell="1" allowOverlap="1">
                    <wp:simplePos x="0" y="0"/>
                    <wp:positionH relativeFrom="margin">
                      <wp:posOffset>-1737360</wp:posOffset>
                    </wp:positionH>
                    <wp:positionV relativeFrom="page">
                      <wp:posOffset>9326880</wp:posOffset>
                    </wp:positionV>
                    <wp:extent cx="7584440" cy="0"/>
                    <wp:effectExtent l="0" t="0" r="0" b="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4440" cy="0"/>
                            </a:xfrm>
                            <a:prstGeom prst="line">
                              <a:avLst/>
                            </a:prstGeom>
                            <a:noFill/>
                            <a:ln w="6350">
                              <a:solidFill>
                                <a:srgbClr val="004A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44FD0" id="Line 29"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36.8pt,734.4pt" to="460.4pt,7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" strokecolor="#004a94" strokeweight=".5pt">
                    <w10:wrap anchorx="margin" anchory="page"/>
                  </v:line>
                </w:pict>
              </mc:Fallback>
            </mc:AlternateContent>
          </w:r>
          <w:r>
            <w:rPr>
              <w:rFonts w:cs="Arial"/>
              <w:b/>
              <w:color w:val="0D2B88"/>
              <w:sz w:val="18"/>
              <w:szCs w:val="18"/>
            </w:rPr>
            <w:t xml:space="preserve">January 2019 </w:t>
          </w:r>
        </w:p>
      </w:tc>
      <w:tc>
        <w:tcPr>
          <w:tcW w:w="3822" w:type="pct"/>
          <w:tcBorders>
            <w:top w:val="single" w:sz="12" w:space="0" w:color="0D2B88"/>
          </w:tcBorders>
        </w:tcPr>
        <w:p w:rsidR="0009663A" w:rsidRDefault="0009663A" w:rsidP="00975ECE">
          <w:pPr>
            <w:pStyle w:val="Footer"/>
            <w:tabs>
              <w:tab w:val="clear" w:pos="8640"/>
              <w:tab w:val="right" w:pos="13680"/>
            </w:tabs>
            <w:jc w:val="center"/>
            <w:rPr>
              <w:rFonts w:ascii="Futurist" w:hAnsi="Futurist"/>
            </w:rPr>
          </w:pPr>
        </w:p>
        <w:p w:rsidR="0009663A" w:rsidRDefault="0009663A" w:rsidP="00975ECE">
          <w:pPr>
            <w:pStyle w:val="Footer"/>
            <w:tabs>
              <w:tab w:val="clear" w:pos="8640"/>
              <w:tab w:val="right" w:pos="13680"/>
            </w:tabs>
            <w:rPr>
              <w:rFonts w:ascii="Futurist" w:hAnsi="Futurist"/>
            </w:rPr>
          </w:pPr>
        </w:p>
      </w:tc>
      <w:tc>
        <w:tcPr>
          <w:tcW w:w="229" w:type="pct"/>
          <w:tcBorders>
            <w:top w:val="single" w:sz="12" w:space="0" w:color="0D2B88"/>
          </w:tcBorders>
          <w:shd w:val="clear" w:color="auto" w:fill="auto"/>
        </w:tcPr>
        <w:p w:rsidR="0009663A" w:rsidRPr="005B1D48" w:rsidRDefault="0009663A" w:rsidP="00975ECE">
          <w:pPr>
            <w:pStyle w:val="Footer"/>
            <w:tabs>
              <w:tab w:val="clear" w:pos="8640"/>
              <w:tab w:val="right" w:pos="13680"/>
            </w:tabs>
            <w:spacing w:before="60"/>
            <w:jc w:val="center"/>
            <w:rPr>
              <w:rStyle w:val="PageNumber"/>
            </w:rPr>
          </w:pPr>
          <w:r w:rsidRPr="005B1D48">
            <w:rPr>
              <w:rStyle w:val="PageNumber"/>
            </w:rPr>
            <w:fldChar w:fldCharType="begin"/>
          </w:r>
          <w:r w:rsidRPr="005B1D48">
            <w:rPr>
              <w:rStyle w:val="PageNumber"/>
            </w:rPr>
            <w:instrText xml:space="preserve"> PAGE </w:instrText>
          </w:r>
          <w:r w:rsidRPr="005B1D48">
            <w:rPr>
              <w:rStyle w:val="PageNumber"/>
            </w:rPr>
            <w:fldChar w:fldCharType="separate"/>
          </w:r>
          <w:r>
            <w:rPr>
              <w:rStyle w:val="PageNumber"/>
              <w:noProof/>
            </w:rPr>
            <w:t>2</w:t>
          </w:r>
          <w:r w:rsidRPr="005B1D48">
            <w:rPr>
              <w:rStyle w:val="PageNumber"/>
            </w:rPr>
            <w:fldChar w:fldCharType="end"/>
          </w:r>
        </w:p>
      </w:tc>
    </w:tr>
    <w:tr w:rsidR="0009663A" w:rsidTr="00975ECE">
      <w:tc>
        <w:tcPr>
          <w:tcW w:w="5000" w:type="pct"/>
          <w:gridSpan w:val="3"/>
        </w:tcPr>
        <w:p w:rsidR="0009663A" w:rsidRPr="00DE4491" w:rsidRDefault="0009663A" w:rsidP="00975ECE">
          <w:pPr>
            <w:pStyle w:val="Footer"/>
            <w:tabs>
              <w:tab w:val="clear" w:pos="4320"/>
              <w:tab w:val="clear" w:pos="8640"/>
              <w:tab w:val="left" w:pos="4105"/>
            </w:tabs>
            <w:ind w:firstLine="720"/>
          </w:pPr>
        </w:p>
      </w:tc>
    </w:tr>
  </w:tbl>
  <w:p w:rsidR="0009663A" w:rsidRDefault="0009663A" w:rsidP="00DF385A">
    <w:pPr>
      <w:pStyle w:val="Footer"/>
      <w:tabs>
        <w:tab w:val="clear" w:pos="4320"/>
        <w:tab w:val="clear" w:pos="8640"/>
        <w:tab w:val="right" w:pos="9360"/>
      </w:tabs>
    </w:pPr>
  </w:p>
  <w:p w:rsidR="0009663A" w:rsidRDefault="0009663A" w:rsidP="00DF385A">
    <w:pPr>
      <w:pStyle w:val="Footer"/>
      <w:tabs>
        <w:tab w:val="clear" w:pos="4320"/>
        <w:tab w:val="clear" w:pos="8640"/>
        <w:tab w:val="right" w:pos="9360"/>
      </w:tabs>
    </w:pPr>
    <w:r>
      <w:rPr>
        <w:noProof/>
      </w:rPr>
      <w:fldChar w:fldCharType="begin"/>
    </w:r>
    <w:r>
      <w:rPr>
        <w:noProof/>
      </w:rPr>
      <w:instrText xml:space="preserve"> FILENAME  \p  \* MERGEFORMAT </w:instrText>
    </w:r>
    <w:r>
      <w:rPr>
        <w:noProof/>
      </w:rPr>
      <w:fldChar w:fldCharType="separate"/>
    </w:r>
    <w:r>
      <w:rPr>
        <w:noProof/>
      </w:rPr>
      <w:t>S:\A D M I N  &amp;  E N G\RWQCB Annual Reports\Jan 2020 Annual Report\2019 Annual Engineer Report JAN2020.docx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Y="1"/>
      <w:tblOverlap w:val="never"/>
      <w:tblW w:w="5000" w:type="pct"/>
      <w:tblLook w:val="01E0" w:firstRow="1" w:lastRow="1" w:firstColumn="1" w:lastColumn="1" w:noHBand="0" w:noVBand="0"/>
    </w:tblPr>
    <w:tblGrid>
      <w:gridCol w:w="1776"/>
      <w:gridCol w:w="7155"/>
      <w:gridCol w:w="429"/>
    </w:tblGrid>
    <w:tr w:rsidR="0009663A">
      <w:trPr>
        <w:trHeight w:val="375"/>
      </w:trPr>
      <w:tc>
        <w:tcPr>
          <w:tcW w:w="949" w:type="pct"/>
          <w:tcBorders>
            <w:top w:val="single" w:sz="12" w:space="0" w:color="0D2B88"/>
          </w:tcBorders>
          <w:vAlign w:val="center"/>
        </w:tcPr>
        <w:p w:rsidR="0009663A" w:rsidRPr="008B54E6" w:rsidRDefault="0009663A" w:rsidP="00040612">
          <w:pPr>
            <w:pStyle w:val="Footer"/>
            <w:spacing w:before="60"/>
            <w:rPr>
              <w:rStyle w:val="PageNumber"/>
              <w:rFonts w:cs="Arial"/>
              <w:b w:val="0"/>
            </w:rPr>
          </w:pPr>
          <w:r w:rsidRPr="008B54E6">
            <w:rPr>
              <w:rStyle w:val="PageNumber"/>
              <w:noProof/>
            </w:rPr>
            <mc:AlternateContent>
              <mc:Choice Requires="wps">
                <w:drawing>
                  <wp:anchor distT="0" distB="0" distL="114300" distR="114300" simplePos="0" relativeHeight="251657216" behindDoc="1" locked="0" layoutInCell="1" allowOverlap="1">
                    <wp:simplePos x="0" y="0"/>
                    <wp:positionH relativeFrom="margin">
                      <wp:posOffset>-1737360</wp:posOffset>
                    </wp:positionH>
                    <wp:positionV relativeFrom="page">
                      <wp:posOffset>9326880</wp:posOffset>
                    </wp:positionV>
                    <wp:extent cx="758444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4440" cy="0"/>
                            </a:xfrm>
                            <a:prstGeom prst="line">
                              <a:avLst/>
                            </a:prstGeom>
                            <a:noFill/>
                            <a:ln w="6350">
                              <a:solidFill>
                                <a:srgbClr val="004A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0F35F" id="Line 2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36.8pt,734.4pt" to="460.4pt,7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" strokecolor="#004a94" strokeweight=".5pt">
                    <w10:wrap anchorx="margin" anchory="page"/>
                  </v:line>
                </w:pict>
              </mc:Fallback>
            </mc:AlternateContent>
          </w:r>
          <w:r>
            <w:rPr>
              <w:rFonts w:cs="Arial"/>
              <w:b/>
              <w:color w:val="0D2B88"/>
              <w:sz w:val="18"/>
              <w:szCs w:val="18"/>
            </w:rPr>
            <w:t>January 2019</w:t>
          </w:r>
        </w:p>
      </w:tc>
      <w:tc>
        <w:tcPr>
          <w:tcW w:w="3822" w:type="pct"/>
          <w:tcBorders>
            <w:top w:val="single" w:sz="12" w:space="0" w:color="0D2B88"/>
          </w:tcBorders>
        </w:tcPr>
        <w:p w:rsidR="0009663A" w:rsidRDefault="0009663A" w:rsidP="0018122D">
          <w:pPr>
            <w:pStyle w:val="Footer"/>
            <w:tabs>
              <w:tab w:val="clear" w:pos="8640"/>
              <w:tab w:val="right" w:pos="13680"/>
            </w:tabs>
            <w:jc w:val="center"/>
            <w:rPr>
              <w:rFonts w:ascii="Futurist" w:hAnsi="Futurist"/>
            </w:rPr>
          </w:pPr>
        </w:p>
      </w:tc>
      <w:tc>
        <w:tcPr>
          <w:tcW w:w="229" w:type="pct"/>
          <w:tcBorders>
            <w:top w:val="single" w:sz="12" w:space="0" w:color="0D2B88"/>
          </w:tcBorders>
          <w:shd w:val="clear" w:color="auto" w:fill="auto"/>
        </w:tcPr>
        <w:p w:rsidR="0009663A" w:rsidRPr="005B1D48" w:rsidRDefault="0009663A" w:rsidP="0018122D">
          <w:pPr>
            <w:pStyle w:val="Footer"/>
            <w:tabs>
              <w:tab w:val="clear" w:pos="8640"/>
              <w:tab w:val="right" w:pos="13680"/>
            </w:tabs>
            <w:spacing w:before="60"/>
            <w:jc w:val="center"/>
            <w:rPr>
              <w:rStyle w:val="PageNumber"/>
            </w:rPr>
          </w:pPr>
          <w:r w:rsidRPr="005B1D48">
            <w:rPr>
              <w:rStyle w:val="PageNumber"/>
            </w:rPr>
            <w:fldChar w:fldCharType="begin"/>
          </w:r>
          <w:r w:rsidRPr="005B1D48">
            <w:rPr>
              <w:rStyle w:val="PageNumber"/>
            </w:rPr>
            <w:instrText xml:space="preserve"> PAGE </w:instrText>
          </w:r>
          <w:r w:rsidRPr="005B1D48">
            <w:rPr>
              <w:rStyle w:val="PageNumber"/>
            </w:rPr>
            <w:fldChar w:fldCharType="separate"/>
          </w:r>
          <w:r>
            <w:rPr>
              <w:rStyle w:val="PageNumber"/>
              <w:noProof/>
            </w:rPr>
            <w:t>1</w:t>
          </w:r>
          <w:r w:rsidRPr="005B1D48">
            <w:rPr>
              <w:rStyle w:val="PageNumber"/>
            </w:rPr>
            <w:fldChar w:fldCharType="end"/>
          </w:r>
        </w:p>
      </w:tc>
    </w:tr>
    <w:tr w:rsidR="0009663A">
      <w:tc>
        <w:tcPr>
          <w:tcW w:w="5000" w:type="pct"/>
          <w:gridSpan w:val="3"/>
        </w:tcPr>
        <w:p w:rsidR="0009663A" w:rsidRPr="00DE4491" w:rsidRDefault="0009663A" w:rsidP="0018122D">
          <w:pPr>
            <w:pStyle w:val="Footer"/>
          </w:pPr>
          <w:r>
            <w:rPr>
              <w:noProof/>
            </w:rPr>
            <w:fldChar w:fldCharType="begin"/>
          </w:r>
          <w:r>
            <w:rPr>
              <w:noProof/>
            </w:rPr>
            <w:instrText xml:space="preserve"> FILENAME \p </w:instrText>
          </w:r>
          <w:r>
            <w:rPr>
              <w:noProof/>
            </w:rPr>
            <w:fldChar w:fldCharType="separate"/>
          </w:r>
          <w:r>
            <w:rPr>
              <w:noProof/>
            </w:rPr>
            <w:t>S:\A D M I N  &amp;  E N G\RWQCB Annual Reports\Jan 2020 Annual Report\2019 Annual Engineer Report JAN2020.docx</w:t>
          </w:r>
          <w:r>
            <w:rPr>
              <w:noProof/>
            </w:rPr>
            <w:fldChar w:fldCharType="end"/>
          </w:r>
        </w:p>
      </w:tc>
    </w:tr>
  </w:tbl>
  <w:p w:rsidR="0009663A" w:rsidRDefault="0009663A" w:rsidP="00D853EC">
    <w:pPr>
      <w:pStyle w:val="Footer"/>
      <w:tabs>
        <w:tab w:val="clear" w:pos="4320"/>
        <w:tab w:val="clear" w:pos="8640"/>
        <w:tab w:val="right" w:pos="9360"/>
      </w:tabs>
      <w:spacing w:after="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63A" w:rsidRDefault="0009663A">
      <w:r>
        <w:separator/>
      </w:r>
    </w:p>
  </w:footnote>
  <w:footnote w:type="continuationSeparator" w:id="0">
    <w:p w:rsidR="0009663A" w:rsidRDefault="00096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Y="1"/>
      <w:tblOverlap w:val="never"/>
      <w:tblW w:w="5000" w:type="pct"/>
      <w:tblBorders>
        <w:bottom w:val="single" w:sz="18" w:space="0" w:color="336699"/>
      </w:tblBorders>
      <w:tblLook w:val="01E0" w:firstRow="1" w:lastRow="1" w:firstColumn="1" w:lastColumn="1" w:noHBand="0" w:noVBand="0"/>
    </w:tblPr>
    <w:tblGrid>
      <w:gridCol w:w="5755"/>
      <w:gridCol w:w="3605"/>
    </w:tblGrid>
    <w:tr w:rsidR="0009663A" w:rsidRPr="00E94AE9">
      <w:tc>
        <w:tcPr>
          <w:tcW w:w="3074" w:type="pct"/>
          <w:tcBorders>
            <w:bottom w:val="nil"/>
          </w:tcBorders>
        </w:tcPr>
        <w:p w:rsidR="0009663A" w:rsidRPr="00E94AE9" w:rsidRDefault="0009663A" w:rsidP="0018122D">
          <w:pPr>
            <w:pStyle w:val="Header"/>
            <w:tabs>
              <w:tab w:val="right" w:pos="13680"/>
            </w:tabs>
            <w:spacing w:before="60"/>
            <w:rPr>
              <w:szCs w:val="18"/>
            </w:rPr>
          </w:pPr>
          <w:r w:rsidRPr="00E94AE9">
            <w:rPr>
              <w:szCs w:val="18"/>
            </w:rPr>
            <w:fldChar w:fldCharType="begin"/>
          </w:r>
          <w:r w:rsidRPr="00E94AE9">
            <w:rPr>
              <w:szCs w:val="18"/>
            </w:rPr>
            <w:instrText xml:space="preserve"> TITLE  \* MERGEFORMAT </w:instrText>
          </w:r>
          <w:r w:rsidRPr="00E94AE9">
            <w:rPr>
              <w:szCs w:val="18"/>
            </w:rPr>
            <w:fldChar w:fldCharType="separate"/>
          </w:r>
          <w:r>
            <w:rPr>
              <w:szCs w:val="18"/>
            </w:rPr>
            <w:t>Sunnyslope County Water District</w:t>
          </w:r>
          <w:r w:rsidRPr="00E94AE9">
            <w:rPr>
              <w:szCs w:val="18"/>
            </w:rPr>
            <w:fldChar w:fldCharType="end"/>
          </w:r>
        </w:p>
      </w:tc>
      <w:tc>
        <w:tcPr>
          <w:tcW w:w="1926" w:type="pct"/>
          <w:tcBorders>
            <w:bottom w:val="nil"/>
          </w:tcBorders>
        </w:tcPr>
        <w:p w:rsidR="0009663A" w:rsidRPr="00E94AE9" w:rsidRDefault="0009663A" w:rsidP="0018122D">
          <w:pPr>
            <w:pStyle w:val="Header"/>
            <w:tabs>
              <w:tab w:val="right" w:pos="13680"/>
            </w:tabs>
            <w:spacing w:before="60"/>
            <w:jc w:val="right"/>
            <w:rPr>
              <w:szCs w:val="18"/>
            </w:rPr>
          </w:pPr>
        </w:p>
      </w:tc>
    </w:tr>
    <w:tr w:rsidR="0009663A" w:rsidRPr="00E94AE9">
      <w:tc>
        <w:tcPr>
          <w:tcW w:w="3074" w:type="pct"/>
          <w:tcBorders>
            <w:bottom w:val="single" w:sz="12" w:space="0" w:color="0D2B88"/>
          </w:tcBorders>
          <w:vAlign w:val="bottom"/>
        </w:tcPr>
        <w:p w:rsidR="0009663A" w:rsidRPr="00E94AE9" w:rsidRDefault="0009663A" w:rsidP="00F610D5">
          <w:pPr>
            <w:pStyle w:val="Header"/>
            <w:tabs>
              <w:tab w:val="right" w:pos="13680"/>
            </w:tabs>
            <w:spacing w:before="60"/>
            <w:rPr>
              <w:szCs w:val="18"/>
            </w:rPr>
          </w:pPr>
          <w:r>
            <w:rPr>
              <w:b w:val="0"/>
              <w:bCs/>
              <w:szCs w:val="18"/>
            </w:rPr>
            <w:t>2019 Annual Engineering Technical Report</w:t>
          </w:r>
        </w:p>
      </w:tc>
      <w:tc>
        <w:tcPr>
          <w:tcW w:w="1926" w:type="pct"/>
          <w:tcBorders>
            <w:bottom w:val="single" w:sz="12" w:space="0" w:color="0D2B88"/>
          </w:tcBorders>
          <w:vAlign w:val="bottom"/>
        </w:tcPr>
        <w:p w:rsidR="0009663A" w:rsidRPr="00E94AE9" w:rsidRDefault="0009663A" w:rsidP="0018122D">
          <w:pPr>
            <w:pStyle w:val="Header"/>
            <w:jc w:val="right"/>
            <w:rPr>
              <w:bCs/>
              <w:szCs w:val="18"/>
            </w:rPr>
          </w:pPr>
        </w:p>
      </w:tc>
    </w:tr>
  </w:tbl>
  <w:p w:rsidR="0009663A" w:rsidRPr="00E94AE9" w:rsidRDefault="0009663A" w:rsidP="00E94AE9">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C7C6905E"/>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118154C"/>
    <w:multiLevelType w:val="singleLevel"/>
    <w:tmpl w:val="B796A38E"/>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03E47BA7"/>
    <w:multiLevelType w:val="hybridMultilevel"/>
    <w:tmpl w:val="4F782B6A"/>
    <w:lvl w:ilvl="0" w:tplc="7F148BC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73596"/>
    <w:multiLevelType w:val="hybridMultilevel"/>
    <w:tmpl w:val="D33A08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84D24F6"/>
    <w:multiLevelType w:val="hybridMultilevel"/>
    <w:tmpl w:val="39BEC1F6"/>
    <w:lvl w:ilvl="0" w:tplc="801EA47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801EA470">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CD5C9D"/>
    <w:multiLevelType w:val="hybridMultilevel"/>
    <w:tmpl w:val="D360BFB8"/>
    <w:lvl w:ilvl="0" w:tplc="F1B8AD10">
      <w:start w:val="1"/>
      <w:numFmt w:val="lowerLetter"/>
      <w:lvlText w:val="%1)"/>
      <w:lvlJc w:val="left"/>
      <w:pPr>
        <w:tabs>
          <w:tab w:val="num" w:pos="576"/>
        </w:tabs>
        <w:ind w:left="576" w:hanging="216"/>
      </w:pPr>
      <w:rPr>
        <w:rFonts w:ascii="Times New Roman" w:eastAsia="Times New Roman" w:hAnsi="Times New Roman" w:cs="Times New Roman" w:hint="default"/>
      </w:rPr>
    </w:lvl>
    <w:lvl w:ilvl="1" w:tplc="A84AB0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296607"/>
    <w:multiLevelType w:val="hybridMultilevel"/>
    <w:tmpl w:val="C66A706C"/>
    <w:lvl w:ilvl="0" w:tplc="04090001">
      <w:start w:val="4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73D66"/>
    <w:multiLevelType w:val="hybridMultilevel"/>
    <w:tmpl w:val="C07CC982"/>
    <w:lvl w:ilvl="0" w:tplc="2C2048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D3262F"/>
    <w:multiLevelType w:val="hybridMultilevel"/>
    <w:tmpl w:val="1C5EC3E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EF56661"/>
    <w:multiLevelType w:val="multilevel"/>
    <w:tmpl w:val="D6843682"/>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3"/>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55180B"/>
    <w:multiLevelType w:val="hybridMultilevel"/>
    <w:tmpl w:val="22E4FCB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2519A4"/>
    <w:multiLevelType w:val="multilevel"/>
    <w:tmpl w:val="D3B0835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893606"/>
    <w:multiLevelType w:val="singleLevel"/>
    <w:tmpl w:val="B796A38E"/>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37434DBB"/>
    <w:multiLevelType w:val="hybridMultilevel"/>
    <w:tmpl w:val="AE462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737F2B"/>
    <w:multiLevelType w:val="hybridMultilevel"/>
    <w:tmpl w:val="2E7EEE96"/>
    <w:lvl w:ilvl="0" w:tplc="04090001">
      <w:start w:val="4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86492"/>
    <w:multiLevelType w:val="hybridMultilevel"/>
    <w:tmpl w:val="12A466C2"/>
    <w:lvl w:ilvl="0" w:tplc="BBFEB03A">
      <w:numFmt w:val="bullet"/>
      <w:lvlText w:val="-"/>
      <w:lvlJc w:val="left"/>
      <w:pPr>
        <w:ind w:left="4410" w:hanging="360"/>
      </w:pPr>
      <w:rPr>
        <w:rFonts w:ascii="Times New Roman" w:eastAsia="Times New Roman" w:hAnsi="Times New Roman" w:cs="Times New Roman"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16" w15:restartNumberingAfterBreak="0">
    <w:nsid w:val="42766B47"/>
    <w:multiLevelType w:val="hybridMultilevel"/>
    <w:tmpl w:val="C798CBA2"/>
    <w:lvl w:ilvl="0" w:tplc="801EA47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801EA470">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835002"/>
    <w:multiLevelType w:val="multilevel"/>
    <w:tmpl w:val="E2242D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3943CC0"/>
    <w:multiLevelType w:val="multilevel"/>
    <w:tmpl w:val="AFC80CB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cs="Times New Roman"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45AD4AAA"/>
    <w:multiLevelType w:val="hybridMultilevel"/>
    <w:tmpl w:val="23F6141E"/>
    <w:lvl w:ilvl="0" w:tplc="801EA47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801EA470">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0800D8"/>
    <w:multiLevelType w:val="multilevel"/>
    <w:tmpl w:val="01FA16F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lvlText w:val="%1.%2.%3.%4"/>
      <w:lvlJc w:val="left"/>
      <w:pPr>
        <w:tabs>
          <w:tab w:val="num" w:pos="1080"/>
        </w:tabs>
        <w:ind w:left="864" w:hanging="864"/>
      </w:pPr>
      <w:rPr>
        <w:rFonts w:hint="default"/>
      </w:rPr>
    </w:lvl>
    <w:lvl w:ilvl="4">
      <w:start w:val="1"/>
      <w:numFmt w:val="none"/>
      <w:lvlText w:val="%1.%2.%3.%4.%5"/>
      <w:lvlJc w:val="left"/>
      <w:pPr>
        <w:tabs>
          <w:tab w:val="num" w:pos="1440"/>
        </w:tabs>
        <w:ind w:left="1008" w:hanging="1008"/>
      </w:pPr>
      <w:rPr>
        <w:rFonts w:hint="default"/>
      </w:rPr>
    </w:lvl>
    <w:lvl w:ilvl="5">
      <w:start w:val="1"/>
      <w:numFmt w:val="none"/>
      <w:lvlText w:val="%1.%2.%3.%4.%5.%6"/>
      <w:lvlJc w:val="left"/>
      <w:pPr>
        <w:tabs>
          <w:tab w:val="num" w:pos="1800"/>
        </w:tabs>
        <w:ind w:left="1152" w:hanging="1152"/>
      </w:pPr>
      <w:rPr>
        <w:rFonts w:hint="default"/>
      </w:rPr>
    </w:lvl>
    <w:lvl w:ilvl="6">
      <w:start w:val="1"/>
      <w:numFmt w:val="none"/>
      <w:lvlText w:val="%1.%2.%3.%4.%5.%6.%7"/>
      <w:lvlJc w:val="left"/>
      <w:pPr>
        <w:tabs>
          <w:tab w:val="num" w:pos="1800"/>
        </w:tabs>
        <w:ind w:left="1296" w:hanging="1296"/>
      </w:pPr>
      <w:rPr>
        <w:rFonts w:hint="default"/>
      </w:rPr>
    </w:lvl>
    <w:lvl w:ilvl="7">
      <w:start w:val="1"/>
      <w:numFmt w:val="none"/>
      <w:lvlText w:val="%1.%2.%3.%4.%5.%6.%7.%8"/>
      <w:lvlJc w:val="left"/>
      <w:pPr>
        <w:tabs>
          <w:tab w:val="num" w:pos="2160"/>
        </w:tabs>
        <w:ind w:left="1440" w:hanging="1440"/>
      </w:pPr>
      <w:rPr>
        <w:rFonts w:hint="default"/>
      </w:rPr>
    </w:lvl>
    <w:lvl w:ilvl="8">
      <w:start w:val="1"/>
      <w:numFmt w:val="none"/>
      <w:lvlText w:val="%1.%2.%3.%4.%5.%6.%7.%8.%9"/>
      <w:lvlJc w:val="left"/>
      <w:pPr>
        <w:tabs>
          <w:tab w:val="num" w:pos="2520"/>
        </w:tabs>
        <w:ind w:left="1584" w:hanging="1584"/>
      </w:pPr>
      <w:rPr>
        <w:rFonts w:hint="default"/>
      </w:rPr>
    </w:lvl>
  </w:abstractNum>
  <w:abstractNum w:abstractNumId="21" w15:restartNumberingAfterBreak="0">
    <w:nsid w:val="4D2A07F5"/>
    <w:multiLevelType w:val="hybridMultilevel"/>
    <w:tmpl w:val="ABFC811C"/>
    <w:lvl w:ilvl="0" w:tplc="D64010AA">
      <w:start w:val="1"/>
      <w:numFmt w:val="bullet"/>
      <w:pStyle w:val="Bullitt"/>
      <w:lvlText w:val=""/>
      <w:lvlJc w:val="left"/>
      <w:pPr>
        <w:tabs>
          <w:tab w:val="num" w:pos="720"/>
        </w:tabs>
        <w:ind w:left="720" w:hanging="360"/>
      </w:pPr>
      <w:rPr>
        <w:rFonts w:ascii="Symbol" w:hAnsi="Symbol" w:hint="default"/>
        <w:color w:val="0D2B8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405C01"/>
    <w:multiLevelType w:val="hybridMultilevel"/>
    <w:tmpl w:val="C9289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547BD2"/>
    <w:multiLevelType w:val="singleLevel"/>
    <w:tmpl w:val="B796A38E"/>
    <w:lvl w:ilvl="0">
      <w:start w:val="1"/>
      <w:numFmt w:val="bullet"/>
      <w:lvlText w:val=""/>
      <w:lvlJc w:val="left"/>
      <w:pPr>
        <w:tabs>
          <w:tab w:val="num" w:pos="720"/>
        </w:tabs>
        <w:ind w:left="720" w:hanging="720"/>
      </w:pPr>
      <w:rPr>
        <w:rFonts w:ascii="Symbol" w:hAnsi="Symbol" w:hint="default"/>
      </w:rPr>
    </w:lvl>
  </w:abstractNum>
  <w:abstractNum w:abstractNumId="24" w15:restartNumberingAfterBreak="0">
    <w:nsid w:val="587C5DBE"/>
    <w:multiLevelType w:val="hybridMultilevel"/>
    <w:tmpl w:val="F51CEB2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58DD5911"/>
    <w:multiLevelType w:val="hybridMultilevel"/>
    <w:tmpl w:val="436CEF90"/>
    <w:lvl w:ilvl="0" w:tplc="B23AE7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6420EA"/>
    <w:multiLevelType w:val="hybridMultilevel"/>
    <w:tmpl w:val="85BC042E"/>
    <w:lvl w:ilvl="0" w:tplc="B23AE71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2A6E1E"/>
    <w:multiLevelType w:val="hybridMultilevel"/>
    <w:tmpl w:val="B148C230"/>
    <w:lvl w:ilvl="0" w:tplc="96F4B8E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62784F53"/>
    <w:multiLevelType w:val="hybridMultilevel"/>
    <w:tmpl w:val="0E308E48"/>
    <w:lvl w:ilvl="0" w:tplc="9C54B80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DF146E"/>
    <w:multiLevelType w:val="hybridMultilevel"/>
    <w:tmpl w:val="73B8D75E"/>
    <w:lvl w:ilvl="0" w:tplc="41328C9A">
      <w:start w:val="1"/>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617BCA"/>
    <w:multiLevelType w:val="multilevel"/>
    <w:tmpl w:val="8ABCD32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cs="Times New Roman"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662F6AF7"/>
    <w:multiLevelType w:val="hybridMultilevel"/>
    <w:tmpl w:val="962819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C937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D8253B9"/>
    <w:multiLevelType w:val="singleLevel"/>
    <w:tmpl w:val="B796A38E"/>
    <w:lvl w:ilvl="0">
      <w:start w:val="1"/>
      <w:numFmt w:val="bullet"/>
      <w:lvlText w:val=""/>
      <w:lvlJc w:val="left"/>
      <w:pPr>
        <w:tabs>
          <w:tab w:val="num" w:pos="720"/>
        </w:tabs>
        <w:ind w:left="720" w:hanging="720"/>
      </w:pPr>
      <w:rPr>
        <w:rFonts w:ascii="Symbol" w:hAnsi="Symbol" w:hint="default"/>
      </w:rPr>
    </w:lvl>
  </w:abstractNum>
  <w:abstractNum w:abstractNumId="34" w15:restartNumberingAfterBreak="0">
    <w:nsid w:val="6F165DD9"/>
    <w:multiLevelType w:val="multilevel"/>
    <w:tmpl w:val="0282B1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02A404F"/>
    <w:multiLevelType w:val="multilevel"/>
    <w:tmpl w:val="5DCCE2A6"/>
    <w:lvl w:ilvl="0">
      <w:start w:val="1"/>
      <w:numFmt w:val="bullet"/>
      <w:lvlText w:val=""/>
      <w:lvlJc w:val="left"/>
      <w:pPr>
        <w:tabs>
          <w:tab w:val="num" w:pos="720"/>
        </w:tabs>
        <w:ind w:left="720" w:hanging="360"/>
      </w:pPr>
      <w:rPr>
        <w:rFonts w:ascii="Symbol" w:hAnsi="Symbol" w:hint="default"/>
        <w:color w:val="00008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E36BEB"/>
    <w:multiLevelType w:val="multilevel"/>
    <w:tmpl w:val="D3389DE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3"/>
      <w:numFmt w:val="bullet"/>
      <w:lvlText w:val=""/>
      <w:lvlJc w:val="left"/>
      <w:pPr>
        <w:tabs>
          <w:tab w:val="num" w:pos="1080"/>
        </w:tabs>
        <w:ind w:left="1080" w:hanging="360"/>
      </w:pPr>
      <w:rPr>
        <w:rFonts w:ascii="Symbol" w:hAnsi="Symbol" w:hint="default"/>
        <w:color w:val="auto"/>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2877E2F"/>
    <w:multiLevelType w:val="hybridMultilevel"/>
    <w:tmpl w:val="5DCCE2A6"/>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AF1C47"/>
    <w:multiLevelType w:val="hybridMultilevel"/>
    <w:tmpl w:val="3064D20A"/>
    <w:lvl w:ilvl="0" w:tplc="801EA47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801EA470">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555164"/>
    <w:multiLevelType w:val="hybridMultilevel"/>
    <w:tmpl w:val="79C055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245F1B"/>
    <w:multiLevelType w:val="hybridMultilevel"/>
    <w:tmpl w:val="5DCCE2A6"/>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541EB7"/>
    <w:multiLevelType w:val="singleLevel"/>
    <w:tmpl w:val="B796A38E"/>
    <w:lvl w:ilvl="0">
      <w:start w:val="1"/>
      <w:numFmt w:val="bullet"/>
      <w:lvlText w:val=""/>
      <w:lvlJc w:val="left"/>
      <w:pPr>
        <w:tabs>
          <w:tab w:val="num" w:pos="720"/>
        </w:tabs>
        <w:ind w:left="720" w:hanging="720"/>
      </w:pPr>
      <w:rPr>
        <w:rFonts w:ascii="Symbol" w:hAnsi="Symbol" w:hint="default"/>
      </w:rPr>
    </w:lvl>
  </w:abstractNum>
  <w:abstractNum w:abstractNumId="42" w15:restartNumberingAfterBreak="0">
    <w:nsid w:val="7F5F40C4"/>
    <w:multiLevelType w:val="hybridMultilevel"/>
    <w:tmpl w:val="5DCCE2A6"/>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23"/>
  </w:num>
  <w:num w:numId="4">
    <w:abstractNumId w:val="41"/>
  </w:num>
  <w:num w:numId="5">
    <w:abstractNumId w:val="33"/>
  </w:num>
  <w:num w:numId="6">
    <w:abstractNumId w:val="0"/>
  </w:num>
  <w:num w:numId="7">
    <w:abstractNumId w:val="3"/>
  </w:num>
  <w:num w:numId="8">
    <w:abstractNumId w:val="20"/>
  </w:num>
  <w:num w:numId="9">
    <w:abstractNumId w:val="22"/>
  </w:num>
  <w:num w:numId="10">
    <w:abstractNumId w:val="30"/>
  </w:num>
  <w:num w:numId="11">
    <w:abstractNumId w:val="18"/>
  </w:num>
  <w:num w:numId="12">
    <w:abstractNumId w:val="34"/>
  </w:num>
  <w:num w:numId="13">
    <w:abstractNumId w:val="9"/>
  </w:num>
  <w:num w:numId="14">
    <w:abstractNumId w:val="36"/>
  </w:num>
  <w:num w:numId="15">
    <w:abstractNumId w:val="13"/>
  </w:num>
  <w:num w:numId="16">
    <w:abstractNumId w:val="32"/>
  </w:num>
  <w:num w:numId="17">
    <w:abstractNumId w:val="10"/>
  </w:num>
  <w:num w:numId="18">
    <w:abstractNumId w:val="17"/>
  </w:num>
  <w:num w:numId="19">
    <w:abstractNumId w:val="24"/>
  </w:num>
  <w:num w:numId="20">
    <w:abstractNumId w:val="8"/>
  </w:num>
  <w:num w:numId="21">
    <w:abstractNumId w:val="21"/>
  </w:num>
  <w:num w:numId="22">
    <w:abstractNumId w:val="31"/>
  </w:num>
  <w:num w:numId="23">
    <w:abstractNumId w:val="39"/>
  </w:num>
  <w:num w:numId="24">
    <w:abstractNumId w:val="42"/>
  </w:num>
  <w:num w:numId="25">
    <w:abstractNumId w:val="37"/>
  </w:num>
  <w:num w:numId="26">
    <w:abstractNumId w:val="40"/>
  </w:num>
  <w:num w:numId="27">
    <w:abstractNumId w:val="38"/>
  </w:num>
  <w:num w:numId="28">
    <w:abstractNumId w:val="16"/>
  </w:num>
  <w:num w:numId="29">
    <w:abstractNumId w:val="19"/>
  </w:num>
  <w:num w:numId="30">
    <w:abstractNumId w:val="4"/>
  </w:num>
  <w:num w:numId="31">
    <w:abstractNumId w:val="35"/>
  </w:num>
  <w:num w:numId="32">
    <w:abstractNumId w:val="11"/>
  </w:num>
  <w:num w:numId="33">
    <w:abstractNumId w:val="2"/>
  </w:num>
  <w:num w:numId="34">
    <w:abstractNumId w:val="5"/>
  </w:num>
  <w:num w:numId="35">
    <w:abstractNumId w:val="28"/>
  </w:num>
  <w:num w:numId="36">
    <w:abstractNumId w:val="29"/>
  </w:num>
  <w:num w:numId="37">
    <w:abstractNumId w:val="7"/>
  </w:num>
  <w:num w:numId="38">
    <w:abstractNumId w:val="26"/>
  </w:num>
  <w:num w:numId="39">
    <w:abstractNumId w:val="25"/>
  </w:num>
  <w:num w:numId="40">
    <w:abstractNumId w:val="15"/>
  </w:num>
  <w:num w:numId="41">
    <w:abstractNumId w:val="27"/>
  </w:num>
  <w:num w:numId="42">
    <w:abstractNumId w:val="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F0"/>
    <w:rsid w:val="00000D1D"/>
    <w:rsid w:val="00001687"/>
    <w:rsid w:val="000021AE"/>
    <w:rsid w:val="00010CA3"/>
    <w:rsid w:val="00010CFF"/>
    <w:rsid w:val="00011096"/>
    <w:rsid w:val="00016448"/>
    <w:rsid w:val="00024352"/>
    <w:rsid w:val="00024822"/>
    <w:rsid w:val="00030BDB"/>
    <w:rsid w:val="00033A4B"/>
    <w:rsid w:val="00040612"/>
    <w:rsid w:val="00043B9C"/>
    <w:rsid w:val="0004659A"/>
    <w:rsid w:val="00053009"/>
    <w:rsid w:val="00053F7C"/>
    <w:rsid w:val="000549F9"/>
    <w:rsid w:val="00055589"/>
    <w:rsid w:val="000577BF"/>
    <w:rsid w:val="00057C66"/>
    <w:rsid w:val="0006375C"/>
    <w:rsid w:val="00063CC6"/>
    <w:rsid w:val="00067BF9"/>
    <w:rsid w:val="00070748"/>
    <w:rsid w:val="00084D7A"/>
    <w:rsid w:val="00085BBB"/>
    <w:rsid w:val="000877E1"/>
    <w:rsid w:val="00092257"/>
    <w:rsid w:val="00093025"/>
    <w:rsid w:val="0009517A"/>
    <w:rsid w:val="0009663A"/>
    <w:rsid w:val="000A388F"/>
    <w:rsid w:val="000C0529"/>
    <w:rsid w:val="000C146D"/>
    <w:rsid w:val="000C1BD2"/>
    <w:rsid w:val="000C2AB4"/>
    <w:rsid w:val="000C5B14"/>
    <w:rsid w:val="000D1176"/>
    <w:rsid w:val="000D23FE"/>
    <w:rsid w:val="000D33C6"/>
    <w:rsid w:val="000D3530"/>
    <w:rsid w:val="000D40AE"/>
    <w:rsid w:val="000D473D"/>
    <w:rsid w:val="000D77EC"/>
    <w:rsid w:val="000E05DC"/>
    <w:rsid w:val="000E141E"/>
    <w:rsid w:val="000E192F"/>
    <w:rsid w:val="000E230A"/>
    <w:rsid w:val="000E5F91"/>
    <w:rsid w:val="000F13B9"/>
    <w:rsid w:val="000F402F"/>
    <w:rsid w:val="000F538B"/>
    <w:rsid w:val="000F6ABB"/>
    <w:rsid w:val="000F7AB5"/>
    <w:rsid w:val="000F7ECF"/>
    <w:rsid w:val="001018D2"/>
    <w:rsid w:val="00102346"/>
    <w:rsid w:val="001050D2"/>
    <w:rsid w:val="0010716B"/>
    <w:rsid w:val="00107A1A"/>
    <w:rsid w:val="00107DD2"/>
    <w:rsid w:val="001164DD"/>
    <w:rsid w:val="001205A2"/>
    <w:rsid w:val="001211DC"/>
    <w:rsid w:val="00121BAA"/>
    <w:rsid w:val="001247B5"/>
    <w:rsid w:val="0012770C"/>
    <w:rsid w:val="0013066B"/>
    <w:rsid w:val="001306D5"/>
    <w:rsid w:val="001321C3"/>
    <w:rsid w:val="0013252F"/>
    <w:rsid w:val="00133D0A"/>
    <w:rsid w:val="001348DF"/>
    <w:rsid w:val="00137014"/>
    <w:rsid w:val="00137065"/>
    <w:rsid w:val="00140762"/>
    <w:rsid w:val="001412D1"/>
    <w:rsid w:val="00141E5A"/>
    <w:rsid w:val="001470A8"/>
    <w:rsid w:val="00151A20"/>
    <w:rsid w:val="00152E47"/>
    <w:rsid w:val="00153608"/>
    <w:rsid w:val="00157807"/>
    <w:rsid w:val="001600E0"/>
    <w:rsid w:val="00160989"/>
    <w:rsid w:val="0016225B"/>
    <w:rsid w:val="001660ED"/>
    <w:rsid w:val="00166909"/>
    <w:rsid w:val="00166E03"/>
    <w:rsid w:val="00170F0B"/>
    <w:rsid w:val="0017162C"/>
    <w:rsid w:val="0018122D"/>
    <w:rsid w:val="0018208C"/>
    <w:rsid w:val="001832AA"/>
    <w:rsid w:val="00183AF5"/>
    <w:rsid w:val="00184A14"/>
    <w:rsid w:val="00185273"/>
    <w:rsid w:val="001861F0"/>
    <w:rsid w:val="0019119C"/>
    <w:rsid w:val="001947F3"/>
    <w:rsid w:val="001948D5"/>
    <w:rsid w:val="00195B08"/>
    <w:rsid w:val="0019641B"/>
    <w:rsid w:val="001A0F1D"/>
    <w:rsid w:val="001A2FDE"/>
    <w:rsid w:val="001A3374"/>
    <w:rsid w:val="001A3B98"/>
    <w:rsid w:val="001A4886"/>
    <w:rsid w:val="001A53E3"/>
    <w:rsid w:val="001A5750"/>
    <w:rsid w:val="001B037F"/>
    <w:rsid w:val="001B0D7F"/>
    <w:rsid w:val="001B1D25"/>
    <w:rsid w:val="001B4ADE"/>
    <w:rsid w:val="001C1B71"/>
    <w:rsid w:val="001C249E"/>
    <w:rsid w:val="001C401D"/>
    <w:rsid w:val="001C4AF9"/>
    <w:rsid w:val="001C668C"/>
    <w:rsid w:val="001C7BB4"/>
    <w:rsid w:val="001D07F8"/>
    <w:rsid w:val="001D092E"/>
    <w:rsid w:val="001D55A4"/>
    <w:rsid w:val="001E0939"/>
    <w:rsid w:val="001E4D52"/>
    <w:rsid w:val="001E5A5C"/>
    <w:rsid w:val="001E639E"/>
    <w:rsid w:val="001E6A67"/>
    <w:rsid w:val="001E7246"/>
    <w:rsid w:val="001F14AB"/>
    <w:rsid w:val="001F2A12"/>
    <w:rsid w:val="001F2D04"/>
    <w:rsid w:val="001F30C9"/>
    <w:rsid w:val="001F5A7A"/>
    <w:rsid w:val="002031BC"/>
    <w:rsid w:val="00210402"/>
    <w:rsid w:val="00210D53"/>
    <w:rsid w:val="002112DA"/>
    <w:rsid w:val="00213A9B"/>
    <w:rsid w:val="002143A6"/>
    <w:rsid w:val="002161BA"/>
    <w:rsid w:val="0021640D"/>
    <w:rsid w:val="00216F03"/>
    <w:rsid w:val="0022359A"/>
    <w:rsid w:val="002235FD"/>
    <w:rsid w:val="0022496C"/>
    <w:rsid w:val="00232368"/>
    <w:rsid w:val="00232CA1"/>
    <w:rsid w:val="00232DF7"/>
    <w:rsid w:val="00235AFC"/>
    <w:rsid w:val="00236137"/>
    <w:rsid w:val="00236969"/>
    <w:rsid w:val="00236C47"/>
    <w:rsid w:val="0024016D"/>
    <w:rsid w:val="00240F7A"/>
    <w:rsid w:val="00242296"/>
    <w:rsid w:val="00244E68"/>
    <w:rsid w:val="002460F5"/>
    <w:rsid w:val="002503B2"/>
    <w:rsid w:val="002510CC"/>
    <w:rsid w:val="00252033"/>
    <w:rsid w:val="002523BB"/>
    <w:rsid w:val="00257965"/>
    <w:rsid w:val="00261669"/>
    <w:rsid w:val="002624E4"/>
    <w:rsid w:val="0026392D"/>
    <w:rsid w:val="00264835"/>
    <w:rsid w:val="00265806"/>
    <w:rsid w:val="00267ADF"/>
    <w:rsid w:val="0027056E"/>
    <w:rsid w:val="002714DE"/>
    <w:rsid w:val="002723B5"/>
    <w:rsid w:val="0027262C"/>
    <w:rsid w:val="00272693"/>
    <w:rsid w:val="002748F7"/>
    <w:rsid w:val="002764EF"/>
    <w:rsid w:val="00281160"/>
    <w:rsid w:val="002814F7"/>
    <w:rsid w:val="002855BB"/>
    <w:rsid w:val="00286402"/>
    <w:rsid w:val="00287AAC"/>
    <w:rsid w:val="00294BAC"/>
    <w:rsid w:val="00296318"/>
    <w:rsid w:val="00297B5E"/>
    <w:rsid w:val="002A1B41"/>
    <w:rsid w:val="002A25C2"/>
    <w:rsid w:val="002A3810"/>
    <w:rsid w:val="002B1699"/>
    <w:rsid w:val="002B3023"/>
    <w:rsid w:val="002B3865"/>
    <w:rsid w:val="002B43B4"/>
    <w:rsid w:val="002C2477"/>
    <w:rsid w:val="002C2595"/>
    <w:rsid w:val="002C4A90"/>
    <w:rsid w:val="002C5119"/>
    <w:rsid w:val="002C5AFE"/>
    <w:rsid w:val="002C6220"/>
    <w:rsid w:val="002D0D86"/>
    <w:rsid w:val="002D6AE0"/>
    <w:rsid w:val="002E3C98"/>
    <w:rsid w:val="002E51AD"/>
    <w:rsid w:val="002E5928"/>
    <w:rsid w:val="002E6300"/>
    <w:rsid w:val="002E7625"/>
    <w:rsid w:val="002F1243"/>
    <w:rsid w:val="002F13F3"/>
    <w:rsid w:val="002F23B3"/>
    <w:rsid w:val="002F339D"/>
    <w:rsid w:val="002F3673"/>
    <w:rsid w:val="002F463F"/>
    <w:rsid w:val="00300006"/>
    <w:rsid w:val="00300477"/>
    <w:rsid w:val="00301319"/>
    <w:rsid w:val="00301C35"/>
    <w:rsid w:val="0030257D"/>
    <w:rsid w:val="003037F0"/>
    <w:rsid w:val="00304347"/>
    <w:rsid w:val="00313FE0"/>
    <w:rsid w:val="00314F75"/>
    <w:rsid w:val="00317395"/>
    <w:rsid w:val="00317805"/>
    <w:rsid w:val="003204A5"/>
    <w:rsid w:val="0032061F"/>
    <w:rsid w:val="003209B9"/>
    <w:rsid w:val="00320EEC"/>
    <w:rsid w:val="00323D0A"/>
    <w:rsid w:val="00327CE2"/>
    <w:rsid w:val="0033196A"/>
    <w:rsid w:val="00331D17"/>
    <w:rsid w:val="00341444"/>
    <w:rsid w:val="00342693"/>
    <w:rsid w:val="00343BC2"/>
    <w:rsid w:val="00347E8A"/>
    <w:rsid w:val="0035242A"/>
    <w:rsid w:val="00352EBD"/>
    <w:rsid w:val="0035320F"/>
    <w:rsid w:val="00356230"/>
    <w:rsid w:val="0035626F"/>
    <w:rsid w:val="003562D9"/>
    <w:rsid w:val="00362C96"/>
    <w:rsid w:val="0036457A"/>
    <w:rsid w:val="00366BBE"/>
    <w:rsid w:val="00370407"/>
    <w:rsid w:val="00377B84"/>
    <w:rsid w:val="003804D6"/>
    <w:rsid w:val="00381F49"/>
    <w:rsid w:val="003843C7"/>
    <w:rsid w:val="00384412"/>
    <w:rsid w:val="00384C97"/>
    <w:rsid w:val="003854C7"/>
    <w:rsid w:val="00385F81"/>
    <w:rsid w:val="003874E9"/>
    <w:rsid w:val="0039695B"/>
    <w:rsid w:val="00397FD6"/>
    <w:rsid w:val="003A004D"/>
    <w:rsid w:val="003A029D"/>
    <w:rsid w:val="003A152B"/>
    <w:rsid w:val="003A1716"/>
    <w:rsid w:val="003B147B"/>
    <w:rsid w:val="003B3245"/>
    <w:rsid w:val="003B402A"/>
    <w:rsid w:val="003B4990"/>
    <w:rsid w:val="003D20A2"/>
    <w:rsid w:val="003D2926"/>
    <w:rsid w:val="003D3660"/>
    <w:rsid w:val="003D37CB"/>
    <w:rsid w:val="003D3F9C"/>
    <w:rsid w:val="003D4814"/>
    <w:rsid w:val="003D4F82"/>
    <w:rsid w:val="003D5B2C"/>
    <w:rsid w:val="003D6794"/>
    <w:rsid w:val="003D6D9E"/>
    <w:rsid w:val="003E0228"/>
    <w:rsid w:val="003E0DAE"/>
    <w:rsid w:val="003E450E"/>
    <w:rsid w:val="003E4FD2"/>
    <w:rsid w:val="003E51D0"/>
    <w:rsid w:val="003E667B"/>
    <w:rsid w:val="003F17D1"/>
    <w:rsid w:val="003F20F2"/>
    <w:rsid w:val="003F2BC2"/>
    <w:rsid w:val="003F3B88"/>
    <w:rsid w:val="003F3D32"/>
    <w:rsid w:val="003F3E85"/>
    <w:rsid w:val="003F6636"/>
    <w:rsid w:val="003F7DF7"/>
    <w:rsid w:val="0040180D"/>
    <w:rsid w:val="00404CD6"/>
    <w:rsid w:val="004057C0"/>
    <w:rsid w:val="00410A1F"/>
    <w:rsid w:val="00410E91"/>
    <w:rsid w:val="00412D1D"/>
    <w:rsid w:val="00413269"/>
    <w:rsid w:val="00417B26"/>
    <w:rsid w:val="004211FB"/>
    <w:rsid w:val="0042298C"/>
    <w:rsid w:val="00424543"/>
    <w:rsid w:val="00430B41"/>
    <w:rsid w:val="00432608"/>
    <w:rsid w:val="00433622"/>
    <w:rsid w:val="00437290"/>
    <w:rsid w:val="00437E5B"/>
    <w:rsid w:val="00441A92"/>
    <w:rsid w:val="004422C4"/>
    <w:rsid w:val="00443CCC"/>
    <w:rsid w:val="00445C37"/>
    <w:rsid w:val="004511F2"/>
    <w:rsid w:val="004555C1"/>
    <w:rsid w:val="00455943"/>
    <w:rsid w:val="00455A7F"/>
    <w:rsid w:val="00466E95"/>
    <w:rsid w:val="00472612"/>
    <w:rsid w:val="004747B3"/>
    <w:rsid w:val="00474983"/>
    <w:rsid w:val="00476738"/>
    <w:rsid w:val="00477B9F"/>
    <w:rsid w:val="00480E0D"/>
    <w:rsid w:val="00482371"/>
    <w:rsid w:val="00483E98"/>
    <w:rsid w:val="0048401D"/>
    <w:rsid w:val="004845FC"/>
    <w:rsid w:val="00484A31"/>
    <w:rsid w:val="004875F0"/>
    <w:rsid w:val="00492A99"/>
    <w:rsid w:val="0049762F"/>
    <w:rsid w:val="004B7F7E"/>
    <w:rsid w:val="004C2311"/>
    <w:rsid w:val="004C3A96"/>
    <w:rsid w:val="004C3B77"/>
    <w:rsid w:val="004C53A9"/>
    <w:rsid w:val="004C6D42"/>
    <w:rsid w:val="004D151B"/>
    <w:rsid w:val="004D3D15"/>
    <w:rsid w:val="004E1D7F"/>
    <w:rsid w:val="004E20D6"/>
    <w:rsid w:val="004E2141"/>
    <w:rsid w:val="004E4E90"/>
    <w:rsid w:val="004E5410"/>
    <w:rsid w:val="004E60AF"/>
    <w:rsid w:val="004F3940"/>
    <w:rsid w:val="004F6128"/>
    <w:rsid w:val="00500B33"/>
    <w:rsid w:val="005054E2"/>
    <w:rsid w:val="00507098"/>
    <w:rsid w:val="00510561"/>
    <w:rsid w:val="005125AC"/>
    <w:rsid w:val="00521645"/>
    <w:rsid w:val="00523FD2"/>
    <w:rsid w:val="00526271"/>
    <w:rsid w:val="00527D6C"/>
    <w:rsid w:val="0053052B"/>
    <w:rsid w:val="0053301A"/>
    <w:rsid w:val="00535F64"/>
    <w:rsid w:val="00543B6D"/>
    <w:rsid w:val="005447FF"/>
    <w:rsid w:val="005521C7"/>
    <w:rsid w:val="00553FC2"/>
    <w:rsid w:val="005560D0"/>
    <w:rsid w:val="00557984"/>
    <w:rsid w:val="00560594"/>
    <w:rsid w:val="00564D08"/>
    <w:rsid w:val="00577B43"/>
    <w:rsid w:val="0058090D"/>
    <w:rsid w:val="00582EFC"/>
    <w:rsid w:val="005831E8"/>
    <w:rsid w:val="00584171"/>
    <w:rsid w:val="00585FA2"/>
    <w:rsid w:val="005865C1"/>
    <w:rsid w:val="005909DE"/>
    <w:rsid w:val="005922B6"/>
    <w:rsid w:val="00592C3D"/>
    <w:rsid w:val="005964C5"/>
    <w:rsid w:val="0059677D"/>
    <w:rsid w:val="00596EB5"/>
    <w:rsid w:val="00597C50"/>
    <w:rsid w:val="005A029F"/>
    <w:rsid w:val="005A0FCC"/>
    <w:rsid w:val="005A306D"/>
    <w:rsid w:val="005A4169"/>
    <w:rsid w:val="005A4CB2"/>
    <w:rsid w:val="005A7402"/>
    <w:rsid w:val="005B100A"/>
    <w:rsid w:val="005B1D48"/>
    <w:rsid w:val="005B2939"/>
    <w:rsid w:val="005B39E0"/>
    <w:rsid w:val="005B4559"/>
    <w:rsid w:val="005C12D1"/>
    <w:rsid w:val="005C23FE"/>
    <w:rsid w:val="005C434B"/>
    <w:rsid w:val="005C4823"/>
    <w:rsid w:val="005C48EA"/>
    <w:rsid w:val="005C6B25"/>
    <w:rsid w:val="005D0215"/>
    <w:rsid w:val="005D04C2"/>
    <w:rsid w:val="005D2575"/>
    <w:rsid w:val="005D2ECB"/>
    <w:rsid w:val="005D4A9F"/>
    <w:rsid w:val="005E09AD"/>
    <w:rsid w:val="005E33B9"/>
    <w:rsid w:val="005E47C3"/>
    <w:rsid w:val="005E4EF0"/>
    <w:rsid w:val="005E592E"/>
    <w:rsid w:val="005F1979"/>
    <w:rsid w:val="005F39D3"/>
    <w:rsid w:val="006007B5"/>
    <w:rsid w:val="00601C6B"/>
    <w:rsid w:val="0060204D"/>
    <w:rsid w:val="00602600"/>
    <w:rsid w:val="006058D1"/>
    <w:rsid w:val="006101F5"/>
    <w:rsid w:val="00610746"/>
    <w:rsid w:val="006115DF"/>
    <w:rsid w:val="00614130"/>
    <w:rsid w:val="00616F36"/>
    <w:rsid w:val="00620E43"/>
    <w:rsid w:val="00624828"/>
    <w:rsid w:val="00627910"/>
    <w:rsid w:val="00627D2A"/>
    <w:rsid w:val="006308B4"/>
    <w:rsid w:val="006324F0"/>
    <w:rsid w:val="006327BA"/>
    <w:rsid w:val="00637CB9"/>
    <w:rsid w:val="00640E35"/>
    <w:rsid w:val="00640FA0"/>
    <w:rsid w:val="00641FAD"/>
    <w:rsid w:val="0064514E"/>
    <w:rsid w:val="00645E20"/>
    <w:rsid w:val="00651201"/>
    <w:rsid w:val="006515CB"/>
    <w:rsid w:val="00651664"/>
    <w:rsid w:val="00652392"/>
    <w:rsid w:val="0065300F"/>
    <w:rsid w:val="00654C77"/>
    <w:rsid w:val="00655286"/>
    <w:rsid w:val="006577CC"/>
    <w:rsid w:val="00657D22"/>
    <w:rsid w:val="0066043D"/>
    <w:rsid w:val="00661C64"/>
    <w:rsid w:val="00662A72"/>
    <w:rsid w:val="00664353"/>
    <w:rsid w:val="00664615"/>
    <w:rsid w:val="00670058"/>
    <w:rsid w:val="00670B82"/>
    <w:rsid w:val="006714AF"/>
    <w:rsid w:val="00671792"/>
    <w:rsid w:val="006726A7"/>
    <w:rsid w:val="00672A54"/>
    <w:rsid w:val="00672CD0"/>
    <w:rsid w:val="00677D8A"/>
    <w:rsid w:val="00680D86"/>
    <w:rsid w:val="006827F2"/>
    <w:rsid w:val="006854E1"/>
    <w:rsid w:val="00690466"/>
    <w:rsid w:val="0069164C"/>
    <w:rsid w:val="00692878"/>
    <w:rsid w:val="0069736A"/>
    <w:rsid w:val="006A0977"/>
    <w:rsid w:val="006A0CB0"/>
    <w:rsid w:val="006A338D"/>
    <w:rsid w:val="006A4AD7"/>
    <w:rsid w:val="006A69FA"/>
    <w:rsid w:val="006A7604"/>
    <w:rsid w:val="006B340A"/>
    <w:rsid w:val="006B607A"/>
    <w:rsid w:val="006B75BC"/>
    <w:rsid w:val="006C12EB"/>
    <w:rsid w:val="006C2731"/>
    <w:rsid w:val="006C47FB"/>
    <w:rsid w:val="006D04B9"/>
    <w:rsid w:val="006D055B"/>
    <w:rsid w:val="006E1E04"/>
    <w:rsid w:val="006E25D0"/>
    <w:rsid w:val="006E5BD6"/>
    <w:rsid w:val="006E77A2"/>
    <w:rsid w:val="006F0129"/>
    <w:rsid w:val="006F0C6D"/>
    <w:rsid w:val="006F1A9E"/>
    <w:rsid w:val="006F7C0E"/>
    <w:rsid w:val="006F7D50"/>
    <w:rsid w:val="00707371"/>
    <w:rsid w:val="00707B4E"/>
    <w:rsid w:val="00710327"/>
    <w:rsid w:val="00720E55"/>
    <w:rsid w:val="007233F0"/>
    <w:rsid w:val="0072413B"/>
    <w:rsid w:val="007246BB"/>
    <w:rsid w:val="00724DC6"/>
    <w:rsid w:val="00727312"/>
    <w:rsid w:val="00727F9D"/>
    <w:rsid w:val="007305D6"/>
    <w:rsid w:val="0073106E"/>
    <w:rsid w:val="007323BE"/>
    <w:rsid w:val="00732F67"/>
    <w:rsid w:val="00733B9A"/>
    <w:rsid w:val="007348BF"/>
    <w:rsid w:val="00735193"/>
    <w:rsid w:val="0073568A"/>
    <w:rsid w:val="00735D6A"/>
    <w:rsid w:val="00736082"/>
    <w:rsid w:val="007364AD"/>
    <w:rsid w:val="00736710"/>
    <w:rsid w:val="00737EF9"/>
    <w:rsid w:val="00741324"/>
    <w:rsid w:val="00741C00"/>
    <w:rsid w:val="00744B33"/>
    <w:rsid w:val="00747314"/>
    <w:rsid w:val="007473CF"/>
    <w:rsid w:val="00752018"/>
    <w:rsid w:val="00762234"/>
    <w:rsid w:val="00762864"/>
    <w:rsid w:val="0077233D"/>
    <w:rsid w:val="00774E17"/>
    <w:rsid w:val="0077519E"/>
    <w:rsid w:val="007762C5"/>
    <w:rsid w:val="00776574"/>
    <w:rsid w:val="0077671F"/>
    <w:rsid w:val="00780338"/>
    <w:rsid w:val="00784E44"/>
    <w:rsid w:val="00785123"/>
    <w:rsid w:val="00785C2E"/>
    <w:rsid w:val="007874B1"/>
    <w:rsid w:val="0078751B"/>
    <w:rsid w:val="00791A2E"/>
    <w:rsid w:val="00792691"/>
    <w:rsid w:val="00793E2D"/>
    <w:rsid w:val="0079586E"/>
    <w:rsid w:val="007A02E2"/>
    <w:rsid w:val="007A03C9"/>
    <w:rsid w:val="007A0EC4"/>
    <w:rsid w:val="007A1880"/>
    <w:rsid w:val="007A1FC4"/>
    <w:rsid w:val="007A5451"/>
    <w:rsid w:val="007A5A93"/>
    <w:rsid w:val="007A6278"/>
    <w:rsid w:val="007B077D"/>
    <w:rsid w:val="007B1055"/>
    <w:rsid w:val="007B2083"/>
    <w:rsid w:val="007B3D42"/>
    <w:rsid w:val="007B5AB0"/>
    <w:rsid w:val="007B7468"/>
    <w:rsid w:val="007C1561"/>
    <w:rsid w:val="007C2716"/>
    <w:rsid w:val="007C649C"/>
    <w:rsid w:val="007C735E"/>
    <w:rsid w:val="007D039A"/>
    <w:rsid w:val="007D1D27"/>
    <w:rsid w:val="007D68AB"/>
    <w:rsid w:val="007D717D"/>
    <w:rsid w:val="007E045D"/>
    <w:rsid w:val="007E2AD9"/>
    <w:rsid w:val="007E4D3F"/>
    <w:rsid w:val="007E56AB"/>
    <w:rsid w:val="007E6B08"/>
    <w:rsid w:val="007F00E4"/>
    <w:rsid w:val="007F1F84"/>
    <w:rsid w:val="007F264D"/>
    <w:rsid w:val="007F375C"/>
    <w:rsid w:val="007F5F7C"/>
    <w:rsid w:val="0080048D"/>
    <w:rsid w:val="0080104C"/>
    <w:rsid w:val="00802EB8"/>
    <w:rsid w:val="00804CA5"/>
    <w:rsid w:val="00805DE3"/>
    <w:rsid w:val="008065CA"/>
    <w:rsid w:val="00810150"/>
    <w:rsid w:val="00810251"/>
    <w:rsid w:val="0081074C"/>
    <w:rsid w:val="00815564"/>
    <w:rsid w:val="00815B59"/>
    <w:rsid w:val="008163CF"/>
    <w:rsid w:val="00817FA8"/>
    <w:rsid w:val="008253D9"/>
    <w:rsid w:val="00825DAF"/>
    <w:rsid w:val="0082655A"/>
    <w:rsid w:val="00826AA8"/>
    <w:rsid w:val="00840D8B"/>
    <w:rsid w:val="0084260C"/>
    <w:rsid w:val="008436A2"/>
    <w:rsid w:val="0084484B"/>
    <w:rsid w:val="00851AA6"/>
    <w:rsid w:val="0085223E"/>
    <w:rsid w:val="00852C74"/>
    <w:rsid w:val="00860231"/>
    <w:rsid w:val="00861623"/>
    <w:rsid w:val="00861DC7"/>
    <w:rsid w:val="008620BC"/>
    <w:rsid w:val="00863550"/>
    <w:rsid w:val="00866710"/>
    <w:rsid w:val="00870351"/>
    <w:rsid w:val="00871376"/>
    <w:rsid w:val="00871D1A"/>
    <w:rsid w:val="00873B7D"/>
    <w:rsid w:val="00874F90"/>
    <w:rsid w:val="00875C46"/>
    <w:rsid w:val="008779B7"/>
    <w:rsid w:val="00883A41"/>
    <w:rsid w:val="00891ECB"/>
    <w:rsid w:val="0089558E"/>
    <w:rsid w:val="00896906"/>
    <w:rsid w:val="00896FA1"/>
    <w:rsid w:val="008A2D10"/>
    <w:rsid w:val="008A7BA5"/>
    <w:rsid w:val="008B0497"/>
    <w:rsid w:val="008B1CA1"/>
    <w:rsid w:val="008B339A"/>
    <w:rsid w:val="008B54E6"/>
    <w:rsid w:val="008B6216"/>
    <w:rsid w:val="008C00D7"/>
    <w:rsid w:val="008C27EC"/>
    <w:rsid w:val="008C3A59"/>
    <w:rsid w:val="008C49D2"/>
    <w:rsid w:val="008D069C"/>
    <w:rsid w:val="008D0B63"/>
    <w:rsid w:val="008D10CB"/>
    <w:rsid w:val="008D26D8"/>
    <w:rsid w:val="008D392F"/>
    <w:rsid w:val="008D5C8A"/>
    <w:rsid w:val="008E180B"/>
    <w:rsid w:val="008E2F5C"/>
    <w:rsid w:val="008F1F34"/>
    <w:rsid w:val="008F252C"/>
    <w:rsid w:val="008F4F43"/>
    <w:rsid w:val="008F6096"/>
    <w:rsid w:val="009003AA"/>
    <w:rsid w:val="00901C31"/>
    <w:rsid w:val="00902C77"/>
    <w:rsid w:val="00907BBD"/>
    <w:rsid w:val="00910ABD"/>
    <w:rsid w:val="00914185"/>
    <w:rsid w:val="009154F6"/>
    <w:rsid w:val="00915D96"/>
    <w:rsid w:val="009216A7"/>
    <w:rsid w:val="00921DB0"/>
    <w:rsid w:val="009221C3"/>
    <w:rsid w:val="009232A3"/>
    <w:rsid w:val="00923515"/>
    <w:rsid w:val="009256E5"/>
    <w:rsid w:val="00926CD6"/>
    <w:rsid w:val="00927131"/>
    <w:rsid w:val="00927E5E"/>
    <w:rsid w:val="009343A1"/>
    <w:rsid w:val="00942E3A"/>
    <w:rsid w:val="00943069"/>
    <w:rsid w:val="009460B8"/>
    <w:rsid w:val="0095103D"/>
    <w:rsid w:val="00952730"/>
    <w:rsid w:val="0095392F"/>
    <w:rsid w:val="00953B16"/>
    <w:rsid w:val="0095412B"/>
    <w:rsid w:val="00955B3A"/>
    <w:rsid w:val="0095661E"/>
    <w:rsid w:val="00957154"/>
    <w:rsid w:val="009629D3"/>
    <w:rsid w:val="00967123"/>
    <w:rsid w:val="00971520"/>
    <w:rsid w:val="0097171F"/>
    <w:rsid w:val="00971862"/>
    <w:rsid w:val="00975ECE"/>
    <w:rsid w:val="009762DE"/>
    <w:rsid w:val="009772C8"/>
    <w:rsid w:val="00981451"/>
    <w:rsid w:val="00983C6D"/>
    <w:rsid w:val="009853D3"/>
    <w:rsid w:val="009855B4"/>
    <w:rsid w:val="00985773"/>
    <w:rsid w:val="00986B34"/>
    <w:rsid w:val="009938E1"/>
    <w:rsid w:val="00996790"/>
    <w:rsid w:val="009A0349"/>
    <w:rsid w:val="009A0360"/>
    <w:rsid w:val="009A0603"/>
    <w:rsid w:val="009A1048"/>
    <w:rsid w:val="009A2917"/>
    <w:rsid w:val="009A296C"/>
    <w:rsid w:val="009A48CB"/>
    <w:rsid w:val="009A4FA4"/>
    <w:rsid w:val="009A55A6"/>
    <w:rsid w:val="009A55BB"/>
    <w:rsid w:val="009A6177"/>
    <w:rsid w:val="009A6B1E"/>
    <w:rsid w:val="009A7C7C"/>
    <w:rsid w:val="009B1205"/>
    <w:rsid w:val="009B258D"/>
    <w:rsid w:val="009B4EC9"/>
    <w:rsid w:val="009C23FA"/>
    <w:rsid w:val="009C7843"/>
    <w:rsid w:val="009D02F0"/>
    <w:rsid w:val="009D131F"/>
    <w:rsid w:val="009D6AFA"/>
    <w:rsid w:val="009D791B"/>
    <w:rsid w:val="009E06B9"/>
    <w:rsid w:val="009E37D9"/>
    <w:rsid w:val="009E7923"/>
    <w:rsid w:val="009F2AB2"/>
    <w:rsid w:val="009F6589"/>
    <w:rsid w:val="009F74D0"/>
    <w:rsid w:val="00A01817"/>
    <w:rsid w:val="00A06BF9"/>
    <w:rsid w:val="00A13AAC"/>
    <w:rsid w:val="00A158CE"/>
    <w:rsid w:val="00A17E8D"/>
    <w:rsid w:val="00A218E0"/>
    <w:rsid w:val="00A24229"/>
    <w:rsid w:val="00A32A8A"/>
    <w:rsid w:val="00A3536A"/>
    <w:rsid w:val="00A371B7"/>
    <w:rsid w:val="00A41B92"/>
    <w:rsid w:val="00A42893"/>
    <w:rsid w:val="00A465A9"/>
    <w:rsid w:val="00A50B6A"/>
    <w:rsid w:val="00A513CF"/>
    <w:rsid w:val="00A52CD6"/>
    <w:rsid w:val="00A548A6"/>
    <w:rsid w:val="00A56BC1"/>
    <w:rsid w:val="00A5767F"/>
    <w:rsid w:val="00A57A2C"/>
    <w:rsid w:val="00A613A4"/>
    <w:rsid w:val="00A64DB6"/>
    <w:rsid w:val="00A66BAB"/>
    <w:rsid w:val="00A7003B"/>
    <w:rsid w:val="00A708E9"/>
    <w:rsid w:val="00A70D58"/>
    <w:rsid w:val="00A74692"/>
    <w:rsid w:val="00A767DF"/>
    <w:rsid w:val="00A76D67"/>
    <w:rsid w:val="00A80DE1"/>
    <w:rsid w:val="00A83D08"/>
    <w:rsid w:val="00A83D34"/>
    <w:rsid w:val="00A87461"/>
    <w:rsid w:val="00AA1C62"/>
    <w:rsid w:val="00AA6577"/>
    <w:rsid w:val="00AB01C3"/>
    <w:rsid w:val="00AB20D6"/>
    <w:rsid w:val="00AB248D"/>
    <w:rsid w:val="00AB2974"/>
    <w:rsid w:val="00AB3373"/>
    <w:rsid w:val="00AC1154"/>
    <w:rsid w:val="00AC1619"/>
    <w:rsid w:val="00AC3320"/>
    <w:rsid w:val="00AC3957"/>
    <w:rsid w:val="00AC3CBE"/>
    <w:rsid w:val="00AC40B1"/>
    <w:rsid w:val="00AC6032"/>
    <w:rsid w:val="00AC6370"/>
    <w:rsid w:val="00AD1DC2"/>
    <w:rsid w:val="00AD5556"/>
    <w:rsid w:val="00AD7DEB"/>
    <w:rsid w:val="00AE5D35"/>
    <w:rsid w:val="00AE6E2B"/>
    <w:rsid w:val="00AF1AD3"/>
    <w:rsid w:val="00AF24AD"/>
    <w:rsid w:val="00AF28CD"/>
    <w:rsid w:val="00AF5551"/>
    <w:rsid w:val="00AF6D06"/>
    <w:rsid w:val="00B001ED"/>
    <w:rsid w:val="00B030D2"/>
    <w:rsid w:val="00B03582"/>
    <w:rsid w:val="00B0396D"/>
    <w:rsid w:val="00B0420F"/>
    <w:rsid w:val="00B1080A"/>
    <w:rsid w:val="00B1286A"/>
    <w:rsid w:val="00B142D5"/>
    <w:rsid w:val="00B1799B"/>
    <w:rsid w:val="00B20D7F"/>
    <w:rsid w:val="00B21B1A"/>
    <w:rsid w:val="00B21BB6"/>
    <w:rsid w:val="00B239C0"/>
    <w:rsid w:val="00B24996"/>
    <w:rsid w:val="00B24CFC"/>
    <w:rsid w:val="00B27EE7"/>
    <w:rsid w:val="00B30FED"/>
    <w:rsid w:val="00B3482A"/>
    <w:rsid w:val="00B407A0"/>
    <w:rsid w:val="00B42E48"/>
    <w:rsid w:val="00B43C55"/>
    <w:rsid w:val="00B52024"/>
    <w:rsid w:val="00B521A8"/>
    <w:rsid w:val="00B55ABC"/>
    <w:rsid w:val="00B55EFA"/>
    <w:rsid w:val="00B563E6"/>
    <w:rsid w:val="00B57420"/>
    <w:rsid w:val="00B615D7"/>
    <w:rsid w:val="00B63507"/>
    <w:rsid w:val="00B640E0"/>
    <w:rsid w:val="00B64275"/>
    <w:rsid w:val="00B71BFE"/>
    <w:rsid w:val="00B7200C"/>
    <w:rsid w:val="00B74448"/>
    <w:rsid w:val="00B75116"/>
    <w:rsid w:val="00B815B9"/>
    <w:rsid w:val="00B835E9"/>
    <w:rsid w:val="00B845CD"/>
    <w:rsid w:val="00B85A9E"/>
    <w:rsid w:val="00B8730B"/>
    <w:rsid w:val="00B91316"/>
    <w:rsid w:val="00B92365"/>
    <w:rsid w:val="00B933E0"/>
    <w:rsid w:val="00B94912"/>
    <w:rsid w:val="00BB27D2"/>
    <w:rsid w:val="00BB3155"/>
    <w:rsid w:val="00BB469F"/>
    <w:rsid w:val="00BB5B15"/>
    <w:rsid w:val="00BB66EE"/>
    <w:rsid w:val="00BB7D61"/>
    <w:rsid w:val="00BC1471"/>
    <w:rsid w:val="00BC1B30"/>
    <w:rsid w:val="00BC203F"/>
    <w:rsid w:val="00BC2D28"/>
    <w:rsid w:val="00BC4D2C"/>
    <w:rsid w:val="00BD18C1"/>
    <w:rsid w:val="00BD3520"/>
    <w:rsid w:val="00BD5378"/>
    <w:rsid w:val="00BE1401"/>
    <w:rsid w:val="00BE2069"/>
    <w:rsid w:val="00BE2B56"/>
    <w:rsid w:val="00BE4CD4"/>
    <w:rsid w:val="00BE55E7"/>
    <w:rsid w:val="00BE7D62"/>
    <w:rsid w:val="00BF0A59"/>
    <w:rsid w:val="00BF21E6"/>
    <w:rsid w:val="00BF5EFB"/>
    <w:rsid w:val="00BF624A"/>
    <w:rsid w:val="00BF7A15"/>
    <w:rsid w:val="00C00012"/>
    <w:rsid w:val="00C00C3F"/>
    <w:rsid w:val="00C01631"/>
    <w:rsid w:val="00C021CC"/>
    <w:rsid w:val="00C04A85"/>
    <w:rsid w:val="00C075CF"/>
    <w:rsid w:val="00C10557"/>
    <w:rsid w:val="00C11949"/>
    <w:rsid w:val="00C14D3E"/>
    <w:rsid w:val="00C153DD"/>
    <w:rsid w:val="00C15A6E"/>
    <w:rsid w:val="00C1621B"/>
    <w:rsid w:val="00C1673F"/>
    <w:rsid w:val="00C16B13"/>
    <w:rsid w:val="00C26617"/>
    <w:rsid w:val="00C2788A"/>
    <w:rsid w:val="00C27C10"/>
    <w:rsid w:val="00C3093B"/>
    <w:rsid w:val="00C32BE1"/>
    <w:rsid w:val="00C337DC"/>
    <w:rsid w:val="00C35E49"/>
    <w:rsid w:val="00C40649"/>
    <w:rsid w:val="00C4750D"/>
    <w:rsid w:val="00C5193C"/>
    <w:rsid w:val="00C52451"/>
    <w:rsid w:val="00C563DC"/>
    <w:rsid w:val="00C57645"/>
    <w:rsid w:val="00C6213D"/>
    <w:rsid w:val="00C630A7"/>
    <w:rsid w:val="00C63755"/>
    <w:rsid w:val="00C718CA"/>
    <w:rsid w:val="00C71DC4"/>
    <w:rsid w:val="00C72EF4"/>
    <w:rsid w:val="00C73ECC"/>
    <w:rsid w:val="00C749A1"/>
    <w:rsid w:val="00C75BF1"/>
    <w:rsid w:val="00C76666"/>
    <w:rsid w:val="00C8251D"/>
    <w:rsid w:val="00C82C8E"/>
    <w:rsid w:val="00C8543E"/>
    <w:rsid w:val="00C86D9F"/>
    <w:rsid w:val="00C91AB9"/>
    <w:rsid w:val="00C91D22"/>
    <w:rsid w:val="00C91FE9"/>
    <w:rsid w:val="00C93F69"/>
    <w:rsid w:val="00C94F88"/>
    <w:rsid w:val="00CA34ED"/>
    <w:rsid w:val="00CA3937"/>
    <w:rsid w:val="00CA5CF9"/>
    <w:rsid w:val="00CA6330"/>
    <w:rsid w:val="00CB254C"/>
    <w:rsid w:val="00CB5286"/>
    <w:rsid w:val="00CB66E5"/>
    <w:rsid w:val="00CB7545"/>
    <w:rsid w:val="00CC50D9"/>
    <w:rsid w:val="00CC6081"/>
    <w:rsid w:val="00CC72D6"/>
    <w:rsid w:val="00CD2D57"/>
    <w:rsid w:val="00CE1D13"/>
    <w:rsid w:val="00CE233D"/>
    <w:rsid w:val="00CE39D5"/>
    <w:rsid w:val="00CE3AD1"/>
    <w:rsid w:val="00CE50D4"/>
    <w:rsid w:val="00CE68EE"/>
    <w:rsid w:val="00CE71DF"/>
    <w:rsid w:val="00CF0737"/>
    <w:rsid w:val="00CF4569"/>
    <w:rsid w:val="00CF4751"/>
    <w:rsid w:val="00CF55C4"/>
    <w:rsid w:val="00D00C8B"/>
    <w:rsid w:val="00D00F29"/>
    <w:rsid w:val="00D02D1B"/>
    <w:rsid w:val="00D030D7"/>
    <w:rsid w:val="00D0535E"/>
    <w:rsid w:val="00D10070"/>
    <w:rsid w:val="00D103A2"/>
    <w:rsid w:val="00D127E8"/>
    <w:rsid w:val="00D14E50"/>
    <w:rsid w:val="00D16D21"/>
    <w:rsid w:val="00D20628"/>
    <w:rsid w:val="00D22D68"/>
    <w:rsid w:val="00D25E6E"/>
    <w:rsid w:val="00D26D01"/>
    <w:rsid w:val="00D2740D"/>
    <w:rsid w:val="00D32FA2"/>
    <w:rsid w:val="00D36214"/>
    <w:rsid w:val="00D36FAB"/>
    <w:rsid w:val="00D424E3"/>
    <w:rsid w:val="00D43F73"/>
    <w:rsid w:val="00D44F72"/>
    <w:rsid w:val="00D50255"/>
    <w:rsid w:val="00D535F3"/>
    <w:rsid w:val="00D53A0C"/>
    <w:rsid w:val="00D53C39"/>
    <w:rsid w:val="00D56EDF"/>
    <w:rsid w:val="00D61815"/>
    <w:rsid w:val="00D61B4A"/>
    <w:rsid w:val="00D62A16"/>
    <w:rsid w:val="00D66483"/>
    <w:rsid w:val="00D71A42"/>
    <w:rsid w:val="00D74B07"/>
    <w:rsid w:val="00D76E4B"/>
    <w:rsid w:val="00D8228F"/>
    <w:rsid w:val="00D853EC"/>
    <w:rsid w:val="00D96FDB"/>
    <w:rsid w:val="00DA03DF"/>
    <w:rsid w:val="00DA1886"/>
    <w:rsid w:val="00DA3622"/>
    <w:rsid w:val="00DA4EBE"/>
    <w:rsid w:val="00DA57EC"/>
    <w:rsid w:val="00DA5BE3"/>
    <w:rsid w:val="00DB1F52"/>
    <w:rsid w:val="00DB46B8"/>
    <w:rsid w:val="00DC07A9"/>
    <w:rsid w:val="00DC0C2F"/>
    <w:rsid w:val="00DC1DF3"/>
    <w:rsid w:val="00DC4AB7"/>
    <w:rsid w:val="00DC5C02"/>
    <w:rsid w:val="00DC6B7F"/>
    <w:rsid w:val="00DC7566"/>
    <w:rsid w:val="00DD0FA5"/>
    <w:rsid w:val="00DD24A7"/>
    <w:rsid w:val="00DD3AF4"/>
    <w:rsid w:val="00DD68EC"/>
    <w:rsid w:val="00DE127C"/>
    <w:rsid w:val="00DE1B15"/>
    <w:rsid w:val="00DE1FAB"/>
    <w:rsid w:val="00DE4491"/>
    <w:rsid w:val="00DE5297"/>
    <w:rsid w:val="00DE53C4"/>
    <w:rsid w:val="00DE54DC"/>
    <w:rsid w:val="00DE5CA5"/>
    <w:rsid w:val="00DE6786"/>
    <w:rsid w:val="00DF01E4"/>
    <w:rsid w:val="00DF18B2"/>
    <w:rsid w:val="00DF1F9B"/>
    <w:rsid w:val="00DF385A"/>
    <w:rsid w:val="00DF38C5"/>
    <w:rsid w:val="00DF6ABA"/>
    <w:rsid w:val="00E00F49"/>
    <w:rsid w:val="00E01E97"/>
    <w:rsid w:val="00E03C2C"/>
    <w:rsid w:val="00E060BF"/>
    <w:rsid w:val="00E125C4"/>
    <w:rsid w:val="00E17613"/>
    <w:rsid w:val="00E23099"/>
    <w:rsid w:val="00E25BFF"/>
    <w:rsid w:val="00E25D16"/>
    <w:rsid w:val="00E26E53"/>
    <w:rsid w:val="00E27734"/>
    <w:rsid w:val="00E27E78"/>
    <w:rsid w:val="00E330AD"/>
    <w:rsid w:val="00E33DF9"/>
    <w:rsid w:val="00E37800"/>
    <w:rsid w:val="00E401AC"/>
    <w:rsid w:val="00E404F7"/>
    <w:rsid w:val="00E4091F"/>
    <w:rsid w:val="00E41823"/>
    <w:rsid w:val="00E4218F"/>
    <w:rsid w:val="00E508D8"/>
    <w:rsid w:val="00E6294C"/>
    <w:rsid w:val="00E63127"/>
    <w:rsid w:val="00E66064"/>
    <w:rsid w:val="00E67DB6"/>
    <w:rsid w:val="00E73B14"/>
    <w:rsid w:val="00E7450B"/>
    <w:rsid w:val="00E74C73"/>
    <w:rsid w:val="00E76539"/>
    <w:rsid w:val="00E76ACA"/>
    <w:rsid w:val="00E8145D"/>
    <w:rsid w:val="00E83944"/>
    <w:rsid w:val="00E840CE"/>
    <w:rsid w:val="00E85437"/>
    <w:rsid w:val="00E901EC"/>
    <w:rsid w:val="00E91520"/>
    <w:rsid w:val="00E94AE9"/>
    <w:rsid w:val="00E96496"/>
    <w:rsid w:val="00E96920"/>
    <w:rsid w:val="00E96A5C"/>
    <w:rsid w:val="00E96CE0"/>
    <w:rsid w:val="00E97383"/>
    <w:rsid w:val="00EA0704"/>
    <w:rsid w:val="00EA085E"/>
    <w:rsid w:val="00EA1BB2"/>
    <w:rsid w:val="00EA3B73"/>
    <w:rsid w:val="00EA4726"/>
    <w:rsid w:val="00EB0975"/>
    <w:rsid w:val="00EB11E8"/>
    <w:rsid w:val="00EB2549"/>
    <w:rsid w:val="00EB3C36"/>
    <w:rsid w:val="00EB4002"/>
    <w:rsid w:val="00EB45C1"/>
    <w:rsid w:val="00EB5625"/>
    <w:rsid w:val="00EB7063"/>
    <w:rsid w:val="00EC2BFB"/>
    <w:rsid w:val="00EC71B8"/>
    <w:rsid w:val="00ED28B6"/>
    <w:rsid w:val="00EE5A02"/>
    <w:rsid w:val="00EE7F82"/>
    <w:rsid w:val="00EF098E"/>
    <w:rsid w:val="00EF3988"/>
    <w:rsid w:val="00EF478C"/>
    <w:rsid w:val="00F01721"/>
    <w:rsid w:val="00F01F2E"/>
    <w:rsid w:val="00F02181"/>
    <w:rsid w:val="00F02F8B"/>
    <w:rsid w:val="00F06131"/>
    <w:rsid w:val="00F11DDB"/>
    <w:rsid w:val="00F125B6"/>
    <w:rsid w:val="00F15229"/>
    <w:rsid w:val="00F1682A"/>
    <w:rsid w:val="00F17F39"/>
    <w:rsid w:val="00F20C1A"/>
    <w:rsid w:val="00F2133B"/>
    <w:rsid w:val="00F2133C"/>
    <w:rsid w:val="00F2155E"/>
    <w:rsid w:val="00F24370"/>
    <w:rsid w:val="00F24B58"/>
    <w:rsid w:val="00F32C2E"/>
    <w:rsid w:val="00F35960"/>
    <w:rsid w:val="00F373A6"/>
    <w:rsid w:val="00F4157C"/>
    <w:rsid w:val="00F42B13"/>
    <w:rsid w:val="00F44501"/>
    <w:rsid w:val="00F451A7"/>
    <w:rsid w:val="00F467EA"/>
    <w:rsid w:val="00F472A8"/>
    <w:rsid w:val="00F60E64"/>
    <w:rsid w:val="00F60F60"/>
    <w:rsid w:val="00F610D5"/>
    <w:rsid w:val="00F61205"/>
    <w:rsid w:val="00F61945"/>
    <w:rsid w:val="00F61C94"/>
    <w:rsid w:val="00F71246"/>
    <w:rsid w:val="00F745D0"/>
    <w:rsid w:val="00F75FD0"/>
    <w:rsid w:val="00F77345"/>
    <w:rsid w:val="00F815FA"/>
    <w:rsid w:val="00F835E8"/>
    <w:rsid w:val="00F84D8D"/>
    <w:rsid w:val="00F87E28"/>
    <w:rsid w:val="00F920A0"/>
    <w:rsid w:val="00F94390"/>
    <w:rsid w:val="00F94A79"/>
    <w:rsid w:val="00F97F57"/>
    <w:rsid w:val="00FA068D"/>
    <w:rsid w:val="00FA1399"/>
    <w:rsid w:val="00FA4367"/>
    <w:rsid w:val="00FA6DAD"/>
    <w:rsid w:val="00FA796E"/>
    <w:rsid w:val="00FB0CC9"/>
    <w:rsid w:val="00FB19B9"/>
    <w:rsid w:val="00FB382E"/>
    <w:rsid w:val="00FB40BF"/>
    <w:rsid w:val="00FB491F"/>
    <w:rsid w:val="00FB65D3"/>
    <w:rsid w:val="00FC0DDE"/>
    <w:rsid w:val="00FC16A5"/>
    <w:rsid w:val="00FC1F4F"/>
    <w:rsid w:val="00FC3EB7"/>
    <w:rsid w:val="00FC6843"/>
    <w:rsid w:val="00FC6CC1"/>
    <w:rsid w:val="00FD0758"/>
    <w:rsid w:val="00FD2FBB"/>
    <w:rsid w:val="00FD4A2A"/>
    <w:rsid w:val="00FD6D71"/>
    <w:rsid w:val="00FE0993"/>
    <w:rsid w:val="00FE0FE7"/>
    <w:rsid w:val="00FF01CC"/>
    <w:rsid w:val="00FF0C27"/>
    <w:rsid w:val="00FF4385"/>
    <w:rsid w:val="00FF45BC"/>
    <w:rsid w:val="00FF4E75"/>
    <w:rsid w:val="00FF66F8"/>
    <w:rsid w:val="00FF671A"/>
    <w:rsid w:val="00FF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60DC5B3-D664-466F-B721-B5E56E5D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6A5"/>
    <w:rPr>
      <w:rFonts w:ascii="Arial" w:hAnsi="Arial"/>
      <w:sz w:val="22"/>
      <w:szCs w:val="24"/>
    </w:rPr>
  </w:style>
  <w:style w:type="paragraph" w:styleId="Heading1">
    <w:name w:val="heading 1"/>
    <w:basedOn w:val="Normal"/>
    <w:next w:val="BodyText"/>
    <w:qFormat/>
    <w:rsid w:val="007874B1"/>
    <w:pPr>
      <w:keepNext/>
      <w:numPr>
        <w:numId w:val="8"/>
      </w:numPr>
      <w:tabs>
        <w:tab w:val="clear" w:pos="432"/>
        <w:tab w:val="left" w:pos="720"/>
      </w:tabs>
      <w:spacing w:before="240" w:after="60"/>
      <w:ind w:left="720" w:hanging="720"/>
      <w:outlineLvl w:val="0"/>
    </w:pPr>
    <w:rPr>
      <w:rFonts w:cs="Arial"/>
      <w:b/>
      <w:bCs/>
      <w:color w:val="0D2B88"/>
      <w:sz w:val="30"/>
      <w:szCs w:val="28"/>
    </w:rPr>
  </w:style>
  <w:style w:type="paragraph" w:styleId="Heading2">
    <w:name w:val="heading 2"/>
    <w:basedOn w:val="Normal"/>
    <w:next w:val="BodyText"/>
    <w:qFormat/>
    <w:rsid w:val="007874B1"/>
    <w:pPr>
      <w:keepNext/>
      <w:numPr>
        <w:ilvl w:val="1"/>
        <w:numId w:val="8"/>
      </w:numPr>
      <w:tabs>
        <w:tab w:val="clear" w:pos="576"/>
        <w:tab w:val="left" w:pos="720"/>
      </w:tabs>
      <w:spacing w:before="240" w:after="60"/>
      <w:ind w:left="720" w:hanging="720"/>
      <w:outlineLvl w:val="1"/>
    </w:pPr>
    <w:rPr>
      <w:rFonts w:cs="Arial"/>
      <w:b/>
      <w:bCs/>
      <w:iCs/>
      <w:color w:val="0D2B88"/>
      <w:sz w:val="28"/>
      <w:szCs w:val="28"/>
    </w:rPr>
  </w:style>
  <w:style w:type="paragraph" w:styleId="Heading3">
    <w:name w:val="heading 3"/>
    <w:basedOn w:val="Normal"/>
    <w:next w:val="BodyText"/>
    <w:qFormat/>
    <w:rsid w:val="007874B1"/>
    <w:pPr>
      <w:keepNext/>
      <w:numPr>
        <w:ilvl w:val="2"/>
        <w:numId w:val="8"/>
      </w:numPr>
      <w:spacing w:before="180" w:after="60"/>
      <w:outlineLvl w:val="2"/>
    </w:pPr>
    <w:rPr>
      <w:rFonts w:cs="Arial"/>
      <w:b/>
      <w:bCs/>
      <w:color w:val="0D2B88"/>
      <w:sz w:val="26"/>
      <w:szCs w:val="26"/>
    </w:rPr>
  </w:style>
  <w:style w:type="paragraph" w:styleId="Heading4">
    <w:name w:val="heading 4"/>
    <w:basedOn w:val="Normal"/>
    <w:next w:val="BodyText"/>
    <w:qFormat/>
    <w:rsid w:val="007874B1"/>
    <w:pPr>
      <w:keepNext/>
      <w:spacing w:before="120" w:after="60"/>
      <w:outlineLvl w:val="3"/>
    </w:pPr>
    <w:rPr>
      <w:b/>
      <w:iCs/>
      <w:color w:val="0D2B88"/>
      <w:u w:val="single"/>
    </w:rPr>
  </w:style>
  <w:style w:type="paragraph" w:styleId="Heading5">
    <w:name w:val="heading 5"/>
    <w:basedOn w:val="Normal"/>
    <w:next w:val="BodyText"/>
    <w:qFormat/>
    <w:pPr>
      <w:spacing w:before="240" w:after="60"/>
      <w:outlineLvl w:val="4"/>
    </w:pPr>
    <w:rPr>
      <w:bCs/>
      <w:iCs/>
      <w:szCs w:val="26"/>
      <w:u w:val="single"/>
    </w:rPr>
  </w:style>
  <w:style w:type="paragraph" w:styleId="Heading6">
    <w:name w:val="heading 6"/>
    <w:basedOn w:val="Heading5"/>
    <w:next w:val="BodyText"/>
    <w:qFormat/>
    <w:pPr>
      <w:keepNext/>
      <w:jc w:val="center"/>
      <w:outlineLvl w:val="5"/>
    </w:pPr>
    <w:rPr>
      <w:rFonts w:ascii="Helvetica" w:hAnsi="Helvetica" w:cs="Arial"/>
      <w:bCs w:val="0"/>
      <w:szCs w:val="22"/>
    </w:rPr>
  </w:style>
  <w:style w:type="paragraph" w:styleId="Heading7">
    <w:name w:val="heading 7"/>
    <w:basedOn w:val="Normal"/>
    <w:next w:val="Normal"/>
    <w:qFormat/>
    <w:pPr>
      <w:keepNext/>
      <w:ind w:right="90"/>
      <w:jc w:val="right"/>
      <w:outlineLvl w:val="6"/>
    </w:pPr>
    <w:rPr>
      <w:rFonts w:cs="Arial"/>
      <w:b/>
      <w:bCs/>
      <w:sz w:val="20"/>
      <w:szCs w:val="20"/>
    </w:rPr>
  </w:style>
  <w:style w:type="paragraph" w:styleId="Heading8">
    <w:name w:val="heading 8"/>
    <w:basedOn w:val="Normal"/>
    <w:next w:val="Normal"/>
    <w:qFormat/>
    <w:pPr>
      <w:keepNext/>
      <w:jc w:val="center"/>
      <w:outlineLvl w:val="7"/>
    </w:pPr>
    <w:rPr>
      <w:b/>
      <w:bCs/>
      <w:sz w:val="28"/>
    </w:rPr>
  </w:style>
  <w:style w:type="paragraph" w:styleId="Heading9">
    <w:name w:val="heading 9"/>
    <w:basedOn w:val="Normal"/>
    <w:next w:val="Normal"/>
    <w:qFormat/>
    <w:pPr>
      <w:keepNext/>
      <w:keepLines/>
      <w:framePr w:hSpace="180" w:wrap="notBeside" w:hAnchor="margin" w:y="547"/>
      <w:outlineLvl w:val="8"/>
    </w:pPr>
    <w:rPr>
      <w:rFonts w:ascii="Swis721 Ex BT" w:hAnsi="Swis721 Ex BT"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54DC"/>
    <w:pPr>
      <w:spacing w:after="120"/>
      <w:jc w:val="both"/>
    </w:pPr>
    <w:rPr>
      <w:rFonts w:ascii="Times New Roman" w:hAnsi="Times New Roman"/>
    </w:rPr>
  </w:style>
  <w:style w:type="paragraph" w:styleId="Title">
    <w:name w:val="Title"/>
    <w:basedOn w:val="Normal"/>
    <w:qFormat/>
    <w:rsid w:val="005C12D1"/>
    <w:rPr>
      <w:b/>
      <w:color w:val="0D2B92"/>
      <w:sz w:val="32"/>
    </w:rPr>
  </w:style>
  <w:style w:type="paragraph" w:styleId="Header">
    <w:name w:val="header"/>
    <w:basedOn w:val="Normal"/>
    <w:rsid w:val="00E94AE9"/>
    <w:pPr>
      <w:tabs>
        <w:tab w:val="right" w:pos="9360"/>
      </w:tabs>
    </w:pPr>
    <w:rPr>
      <w:b/>
      <w:sz w:val="18"/>
    </w:rPr>
  </w:style>
  <w:style w:type="paragraph" w:styleId="Footer">
    <w:name w:val="footer"/>
    <w:basedOn w:val="Normal"/>
    <w:rsid w:val="008B54E6"/>
    <w:pPr>
      <w:tabs>
        <w:tab w:val="center" w:pos="4320"/>
        <w:tab w:val="right" w:pos="8640"/>
      </w:tabs>
    </w:pPr>
    <w:rPr>
      <w:sz w:val="16"/>
    </w:rPr>
  </w:style>
  <w:style w:type="character" w:styleId="Hyperlink">
    <w:name w:val="Hyperlink"/>
    <w:rPr>
      <w:color w:val="0000FF"/>
      <w:u w:val="single"/>
    </w:rPr>
  </w:style>
  <w:style w:type="paragraph" w:styleId="TableofFigures">
    <w:name w:val="table of figures"/>
    <w:basedOn w:val="Normal"/>
    <w:next w:val="Normal"/>
    <w:semiHidden/>
    <w:pPr>
      <w:ind w:left="480" w:hanging="480"/>
    </w:pPr>
  </w:style>
  <w:style w:type="paragraph" w:styleId="Caption">
    <w:name w:val="caption"/>
    <w:basedOn w:val="Normal"/>
    <w:next w:val="Normal"/>
    <w:link w:val="CaptionChar"/>
    <w:qFormat/>
    <w:rsid w:val="008B54E6"/>
    <w:pPr>
      <w:spacing w:before="120" w:after="120"/>
      <w:jc w:val="center"/>
    </w:pPr>
    <w:rPr>
      <w:b/>
      <w:bCs/>
      <w:sz w:val="20"/>
      <w:szCs w:val="20"/>
    </w:rPr>
  </w:style>
  <w:style w:type="paragraph" w:customStyle="1" w:styleId="tabletext">
    <w:name w:val="table text"/>
    <w:basedOn w:val="BodyText"/>
    <w:rsid w:val="00DE54DC"/>
    <w:pPr>
      <w:keepNext/>
      <w:keepLines/>
      <w:spacing w:before="60" w:after="0"/>
      <w:jc w:val="center"/>
    </w:pPr>
    <w:rPr>
      <w:rFonts w:ascii="Arial" w:hAnsi="Arial"/>
      <w:sz w:val="20"/>
    </w:rPr>
  </w:style>
  <w:style w:type="character" w:styleId="FootnoteReference">
    <w:name w:val="footnote reference"/>
    <w:semiHidden/>
    <w:rPr>
      <w:vertAlign w:val="superscript"/>
    </w:rPr>
  </w:style>
  <w:style w:type="paragraph" w:customStyle="1" w:styleId="Bullitt">
    <w:name w:val="Bullitt"/>
    <w:basedOn w:val="BodyText"/>
    <w:rsid w:val="001247B5"/>
    <w:pPr>
      <w:numPr>
        <w:numId w:val="21"/>
      </w:numPr>
      <w:spacing w:after="60"/>
    </w:pPr>
  </w:style>
  <w:style w:type="paragraph" w:styleId="FootnoteText">
    <w:name w:val="footnote text"/>
    <w:basedOn w:val="Normal"/>
    <w:semiHidden/>
    <w:rPr>
      <w:rFonts w:ascii="Times New Roman" w:hAnsi="Times New Roman"/>
      <w:sz w:val="20"/>
      <w:szCs w:val="20"/>
    </w:rPr>
  </w:style>
  <w:style w:type="table" w:customStyle="1" w:styleId="Table-RMC">
    <w:name w:val="Table - RMC"/>
    <w:basedOn w:val="TableNormal"/>
    <w:rsid w:val="007364AD"/>
    <w:pPr>
      <w:jc w:val="center"/>
    </w:pPr>
    <w:rPr>
      <w:rFonts w:ascii="Arial" w:hAnsi="Arial"/>
    </w:rPr>
    <w:tblPr>
      <w:tblStyleRowBandSize w:val="1"/>
      <w:tblStyleColBandSize w:val="1"/>
      <w:jc w:val="center"/>
      <w:tblBorders>
        <w:top w:val="single" w:sz="12" w:space="0" w:color="0D2B88"/>
        <w:left w:val="single" w:sz="12" w:space="0" w:color="0D2B88"/>
        <w:bottom w:val="single" w:sz="12" w:space="0" w:color="0D2B88"/>
        <w:right w:val="single" w:sz="12" w:space="0" w:color="0D2B88"/>
      </w:tblBorders>
    </w:tblPr>
    <w:trPr>
      <w:cantSplit/>
      <w:jc w:val="center"/>
    </w:trPr>
    <w:tcPr>
      <w:shd w:val="clear" w:color="auto" w:fill="auto"/>
      <w:vAlign w:val="bottom"/>
    </w:tcPr>
    <w:tblStylePr w:type="firstRow">
      <w:rPr>
        <w:rFonts w:ascii="Arial" w:hAnsi="Arial"/>
        <w:b/>
        <w:color w:val="FFFFFF"/>
        <w:sz w:val="20"/>
      </w:rPr>
      <w:tblPr/>
      <w:tcPr>
        <w:shd w:val="clear" w:color="auto" w:fill="0D2B88"/>
      </w:tcPr>
    </w:tblStylePr>
    <w:tblStylePr w:type="lastRow">
      <w:tblPr/>
      <w:tcPr>
        <w:tcBorders>
          <w:top w:val="nil"/>
          <w:left w:val="single" w:sz="12" w:space="0" w:color="0D2B88"/>
          <w:bottom w:val="single" w:sz="12" w:space="0" w:color="0D2B88"/>
          <w:right w:val="single" w:sz="12" w:space="0" w:color="0D2B88"/>
          <w:insideH w:val="nil"/>
          <w:insideV w:val="nil"/>
          <w:tl2br w:val="nil"/>
          <w:tr2bl w:val="nil"/>
        </w:tcBorders>
        <w:shd w:val="clear" w:color="auto" w:fill="auto"/>
      </w:tcPr>
    </w:tblStylePr>
    <w:tblStylePr w:type="band1Horz">
      <w:tblPr/>
      <w:tcPr>
        <w:tcBorders>
          <w:top w:val="nil"/>
          <w:left w:val="single" w:sz="12" w:space="0" w:color="0D2B88"/>
          <w:bottom w:val="single" w:sz="6" w:space="0" w:color="C0C0C0"/>
          <w:right w:val="single" w:sz="12" w:space="0" w:color="0D2B88"/>
          <w:insideH w:val="nil"/>
          <w:insideV w:val="nil"/>
          <w:tl2br w:val="nil"/>
          <w:tr2bl w:val="nil"/>
        </w:tcBorders>
        <w:shd w:val="clear" w:color="auto" w:fill="auto"/>
      </w:tcPr>
    </w:tblStylePr>
    <w:tblStylePr w:type="band2Horz">
      <w:tblPr/>
      <w:tcPr>
        <w:tcBorders>
          <w:top w:val="nil"/>
          <w:left w:val="single" w:sz="12" w:space="0" w:color="0D2B88"/>
          <w:bottom w:val="single" w:sz="6" w:space="0" w:color="C0C0C0"/>
          <w:right w:val="single" w:sz="12" w:space="0" w:color="0D2B88"/>
          <w:insideH w:val="single" w:sz="6" w:space="0" w:color="C0C0C0"/>
          <w:insideV w:val="nil"/>
          <w:tl2br w:val="nil"/>
          <w:tr2bl w:val="nil"/>
        </w:tcBorders>
        <w:shd w:val="clear" w:color="auto" w:fill="auto"/>
      </w:tcPr>
    </w:tblStylePr>
  </w:style>
  <w:style w:type="character" w:styleId="PageNumber">
    <w:name w:val="page number"/>
    <w:rsid w:val="005B1D48"/>
    <w:rPr>
      <w:rFonts w:ascii="Arial" w:hAnsi="Arial"/>
      <w:b/>
      <w:color w:val="0D2B88"/>
      <w:sz w:val="18"/>
      <w:szCs w:val="18"/>
    </w:rPr>
  </w:style>
  <w:style w:type="character" w:customStyle="1" w:styleId="CaptionChar">
    <w:name w:val="Caption Char"/>
    <w:link w:val="Caption"/>
    <w:rsid w:val="003562D9"/>
    <w:rPr>
      <w:rFonts w:ascii="Arial" w:hAnsi="Arial"/>
      <w:b/>
      <w:bCs/>
      <w:lang w:val="en-US" w:eastAsia="en-US" w:bidi="ar-SA"/>
    </w:rPr>
  </w:style>
  <w:style w:type="paragraph" w:styleId="BalloonText">
    <w:name w:val="Balloon Text"/>
    <w:basedOn w:val="Normal"/>
    <w:semiHidden/>
    <w:rsid w:val="00F44501"/>
    <w:rPr>
      <w:rFonts w:ascii="Tahoma" w:hAnsi="Tahoma"/>
      <w:sz w:val="16"/>
      <w:szCs w:val="16"/>
    </w:rPr>
  </w:style>
  <w:style w:type="paragraph" w:styleId="TOC1">
    <w:name w:val="toc 1"/>
    <w:basedOn w:val="Normal"/>
    <w:next w:val="Normal"/>
    <w:autoRedefine/>
    <w:semiHidden/>
    <w:rsid w:val="00210402"/>
    <w:pPr>
      <w:tabs>
        <w:tab w:val="left" w:pos="440"/>
        <w:tab w:val="right" w:leader="dot" w:pos="9360"/>
      </w:tabs>
    </w:pPr>
    <w:rPr>
      <w:rFonts w:ascii="Times New Roman" w:hAnsi="Times New Roman"/>
      <w:b/>
      <w:noProof/>
    </w:rPr>
  </w:style>
  <w:style w:type="paragraph" w:styleId="TOC2">
    <w:name w:val="toc 2"/>
    <w:basedOn w:val="Normal"/>
    <w:next w:val="Normal"/>
    <w:autoRedefine/>
    <w:semiHidden/>
    <w:rsid w:val="003854C7"/>
    <w:pPr>
      <w:ind w:left="220"/>
    </w:pPr>
    <w:rPr>
      <w:rFonts w:ascii="Times New Roman" w:hAnsi="Times New Roman"/>
    </w:rPr>
  </w:style>
  <w:style w:type="paragraph" w:customStyle="1" w:styleId="References">
    <w:name w:val="References"/>
    <w:basedOn w:val="Title"/>
    <w:next w:val="BodyText"/>
    <w:rsid w:val="00670B82"/>
    <w:pPr>
      <w:spacing w:before="240" w:after="240"/>
    </w:pPr>
    <w:rPr>
      <w:rFonts w:cs="Arial"/>
      <w:bCs/>
      <w:color w:val="auto"/>
      <w:kern w:val="28"/>
      <w:sz w:val="30"/>
      <w:szCs w:val="32"/>
    </w:rPr>
  </w:style>
  <w:style w:type="character" w:styleId="CommentReference">
    <w:name w:val="annotation reference"/>
    <w:rsid w:val="00500B33"/>
    <w:rPr>
      <w:sz w:val="16"/>
      <w:szCs w:val="16"/>
    </w:rPr>
  </w:style>
  <w:style w:type="paragraph" w:styleId="TOC3">
    <w:name w:val="toc 3"/>
    <w:basedOn w:val="Normal"/>
    <w:next w:val="Normal"/>
    <w:autoRedefine/>
    <w:semiHidden/>
    <w:rsid w:val="003854C7"/>
    <w:pPr>
      <w:ind w:left="440"/>
    </w:pPr>
    <w:rPr>
      <w:rFonts w:ascii="Times New Roman" w:hAnsi="Times New Roman"/>
    </w:rPr>
  </w:style>
  <w:style w:type="paragraph" w:styleId="CommentText">
    <w:name w:val="annotation text"/>
    <w:basedOn w:val="Normal"/>
    <w:link w:val="CommentTextChar"/>
    <w:rsid w:val="00500B33"/>
    <w:rPr>
      <w:sz w:val="20"/>
      <w:szCs w:val="20"/>
    </w:rPr>
  </w:style>
  <w:style w:type="character" w:customStyle="1" w:styleId="CommentTextChar">
    <w:name w:val="Comment Text Char"/>
    <w:link w:val="CommentText"/>
    <w:rsid w:val="00500B33"/>
    <w:rPr>
      <w:rFonts w:ascii="Arial" w:hAnsi="Arial"/>
    </w:rPr>
  </w:style>
  <w:style w:type="paragraph" w:styleId="CommentSubject">
    <w:name w:val="annotation subject"/>
    <w:basedOn w:val="CommentText"/>
    <w:next w:val="CommentText"/>
    <w:link w:val="CommentSubjectChar"/>
    <w:rsid w:val="00500B33"/>
    <w:rPr>
      <w:b/>
      <w:bCs/>
    </w:rPr>
  </w:style>
  <w:style w:type="character" w:customStyle="1" w:styleId="CommentSubjectChar">
    <w:name w:val="Comment Subject Char"/>
    <w:link w:val="CommentSubject"/>
    <w:rsid w:val="00500B33"/>
    <w:rPr>
      <w:rFonts w:ascii="Arial" w:hAnsi="Arial"/>
      <w:b/>
      <w:bCs/>
    </w:rPr>
  </w:style>
  <w:style w:type="character" w:styleId="PlaceholderText">
    <w:name w:val="Placeholder Text"/>
    <w:basedOn w:val="DefaultParagraphFont"/>
    <w:uiPriority w:val="99"/>
    <w:semiHidden/>
    <w:rsid w:val="009A7C7C"/>
    <w:rPr>
      <w:color w:val="808080"/>
    </w:rPr>
  </w:style>
  <w:style w:type="paragraph" w:styleId="ListParagraph">
    <w:name w:val="List Paragraph"/>
    <w:basedOn w:val="Normal"/>
    <w:uiPriority w:val="34"/>
    <w:qFormat/>
    <w:rsid w:val="002E5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3398">
      <w:bodyDiv w:val="1"/>
      <w:marLeft w:val="0"/>
      <w:marRight w:val="0"/>
      <w:marTop w:val="0"/>
      <w:marBottom w:val="0"/>
      <w:divBdr>
        <w:top w:val="none" w:sz="0" w:space="0" w:color="auto"/>
        <w:left w:val="none" w:sz="0" w:space="0" w:color="auto"/>
        <w:bottom w:val="none" w:sz="0" w:space="0" w:color="auto"/>
        <w:right w:val="none" w:sz="0" w:space="0" w:color="auto"/>
      </w:divBdr>
    </w:div>
    <w:div w:id="71239873">
      <w:bodyDiv w:val="1"/>
      <w:marLeft w:val="0"/>
      <w:marRight w:val="0"/>
      <w:marTop w:val="0"/>
      <w:marBottom w:val="0"/>
      <w:divBdr>
        <w:top w:val="none" w:sz="0" w:space="0" w:color="auto"/>
        <w:left w:val="none" w:sz="0" w:space="0" w:color="auto"/>
        <w:bottom w:val="none" w:sz="0" w:space="0" w:color="auto"/>
        <w:right w:val="none" w:sz="0" w:space="0" w:color="auto"/>
      </w:divBdr>
    </w:div>
    <w:div w:id="359479953">
      <w:bodyDiv w:val="1"/>
      <w:marLeft w:val="0"/>
      <w:marRight w:val="0"/>
      <w:marTop w:val="0"/>
      <w:marBottom w:val="0"/>
      <w:divBdr>
        <w:top w:val="none" w:sz="0" w:space="0" w:color="auto"/>
        <w:left w:val="none" w:sz="0" w:space="0" w:color="auto"/>
        <w:bottom w:val="none" w:sz="0" w:space="0" w:color="auto"/>
        <w:right w:val="none" w:sz="0" w:space="0" w:color="auto"/>
      </w:divBdr>
    </w:div>
    <w:div w:id="406849595">
      <w:bodyDiv w:val="1"/>
      <w:marLeft w:val="0"/>
      <w:marRight w:val="0"/>
      <w:marTop w:val="0"/>
      <w:marBottom w:val="0"/>
      <w:divBdr>
        <w:top w:val="none" w:sz="0" w:space="0" w:color="auto"/>
        <w:left w:val="none" w:sz="0" w:space="0" w:color="auto"/>
        <w:bottom w:val="none" w:sz="0" w:space="0" w:color="auto"/>
        <w:right w:val="none" w:sz="0" w:space="0" w:color="auto"/>
      </w:divBdr>
    </w:div>
    <w:div w:id="416631580">
      <w:bodyDiv w:val="1"/>
      <w:marLeft w:val="0"/>
      <w:marRight w:val="0"/>
      <w:marTop w:val="0"/>
      <w:marBottom w:val="0"/>
      <w:divBdr>
        <w:top w:val="none" w:sz="0" w:space="0" w:color="auto"/>
        <w:left w:val="none" w:sz="0" w:space="0" w:color="auto"/>
        <w:bottom w:val="none" w:sz="0" w:space="0" w:color="auto"/>
        <w:right w:val="none" w:sz="0" w:space="0" w:color="auto"/>
      </w:divBdr>
    </w:div>
    <w:div w:id="435684268">
      <w:bodyDiv w:val="1"/>
      <w:marLeft w:val="0"/>
      <w:marRight w:val="0"/>
      <w:marTop w:val="0"/>
      <w:marBottom w:val="0"/>
      <w:divBdr>
        <w:top w:val="none" w:sz="0" w:space="0" w:color="auto"/>
        <w:left w:val="none" w:sz="0" w:space="0" w:color="auto"/>
        <w:bottom w:val="none" w:sz="0" w:space="0" w:color="auto"/>
        <w:right w:val="none" w:sz="0" w:space="0" w:color="auto"/>
      </w:divBdr>
    </w:div>
    <w:div w:id="490870456">
      <w:bodyDiv w:val="1"/>
      <w:marLeft w:val="0"/>
      <w:marRight w:val="0"/>
      <w:marTop w:val="0"/>
      <w:marBottom w:val="0"/>
      <w:divBdr>
        <w:top w:val="none" w:sz="0" w:space="0" w:color="auto"/>
        <w:left w:val="none" w:sz="0" w:space="0" w:color="auto"/>
        <w:bottom w:val="none" w:sz="0" w:space="0" w:color="auto"/>
        <w:right w:val="none" w:sz="0" w:space="0" w:color="auto"/>
      </w:divBdr>
    </w:div>
    <w:div w:id="559831699">
      <w:bodyDiv w:val="1"/>
      <w:marLeft w:val="0"/>
      <w:marRight w:val="0"/>
      <w:marTop w:val="0"/>
      <w:marBottom w:val="0"/>
      <w:divBdr>
        <w:top w:val="none" w:sz="0" w:space="0" w:color="auto"/>
        <w:left w:val="none" w:sz="0" w:space="0" w:color="auto"/>
        <w:bottom w:val="none" w:sz="0" w:space="0" w:color="auto"/>
        <w:right w:val="none" w:sz="0" w:space="0" w:color="auto"/>
      </w:divBdr>
    </w:div>
    <w:div w:id="562103966">
      <w:bodyDiv w:val="1"/>
      <w:marLeft w:val="0"/>
      <w:marRight w:val="0"/>
      <w:marTop w:val="0"/>
      <w:marBottom w:val="0"/>
      <w:divBdr>
        <w:top w:val="none" w:sz="0" w:space="0" w:color="auto"/>
        <w:left w:val="none" w:sz="0" w:space="0" w:color="auto"/>
        <w:bottom w:val="none" w:sz="0" w:space="0" w:color="auto"/>
        <w:right w:val="none" w:sz="0" w:space="0" w:color="auto"/>
      </w:divBdr>
    </w:div>
    <w:div w:id="570770982">
      <w:bodyDiv w:val="1"/>
      <w:marLeft w:val="0"/>
      <w:marRight w:val="0"/>
      <w:marTop w:val="0"/>
      <w:marBottom w:val="0"/>
      <w:divBdr>
        <w:top w:val="none" w:sz="0" w:space="0" w:color="auto"/>
        <w:left w:val="none" w:sz="0" w:space="0" w:color="auto"/>
        <w:bottom w:val="none" w:sz="0" w:space="0" w:color="auto"/>
        <w:right w:val="none" w:sz="0" w:space="0" w:color="auto"/>
      </w:divBdr>
    </w:div>
    <w:div w:id="576551300">
      <w:bodyDiv w:val="1"/>
      <w:marLeft w:val="0"/>
      <w:marRight w:val="0"/>
      <w:marTop w:val="0"/>
      <w:marBottom w:val="0"/>
      <w:divBdr>
        <w:top w:val="none" w:sz="0" w:space="0" w:color="auto"/>
        <w:left w:val="none" w:sz="0" w:space="0" w:color="auto"/>
        <w:bottom w:val="none" w:sz="0" w:space="0" w:color="auto"/>
        <w:right w:val="none" w:sz="0" w:space="0" w:color="auto"/>
      </w:divBdr>
    </w:div>
    <w:div w:id="603147638">
      <w:bodyDiv w:val="1"/>
      <w:marLeft w:val="0"/>
      <w:marRight w:val="0"/>
      <w:marTop w:val="0"/>
      <w:marBottom w:val="0"/>
      <w:divBdr>
        <w:top w:val="none" w:sz="0" w:space="0" w:color="auto"/>
        <w:left w:val="none" w:sz="0" w:space="0" w:color="auto"/>
        <w:bottom w:val="none" w:sz="0" w:space="0" w:color="auto"/>
        <w:right w:val="none" w:sz="0" w:space="0" w:color="auto"/>
      </w:divBdr>
    </w:div>
    <w:div w:id="690227512">
      <w:bodyDiv w:val="1"/>
      <w:marLeft w:val="0"/>
      <w:marRight w:val="0"/>
      <w:marTop w:val="0"/>
      <w:marBottom w:val="0"/>
      <w:divBdr>
        <w:top w:val="none" w:sz="0" w:space="0" w:color="auto"/>
        <w:left w:val="none" w:sz="0" w:space="0" w:color="auto"/>
        <w:bottom w:val="none" w:sz="0" w:space="0" w:color="auto"/>
        <w:right w:val="none" w:sz="0" w:space="0" w:color="auto"/>
      </w:divBdr>
    </w:div>
    <w:div w:id="718359434">
      <w:bodyDiv w:val="1"/>
      <w:marLeft w:val="0"/>
      <w:marRight w:val="0"/>
      <w:marTop w:val="0"/>
      <w:marBottom w:val="0"/>
      <w:divBdr>
        <w:top w:val="none" w:sz="0" w:space="0" w:color="auto"/>
        <w:left w:val="none" w:sz="0" w:space="0" w:color="auto"/>
        <w:bottom w:val="none" w:sz="0" w:space="0" w:color="auto"/>
        <w:right w:val="none" w:sz="0" w:space="0" w:color="auto"/>
      </w:divBdr>
    </w:div>
    <w:div w:id="740644075">
      <w:bodyDiv w:val="1"/>
      <w:marLeft w:val="0"/>
      <w:marRight w:val="0"/>
      <w:marTop w:val="0"/>
      <w:marBottom w:val="0"/>
      <w:divBdr>
        <w:top w:val="none" w:sz="0" w:space="0" w:color="auto"/>
        <w:left w:val="none" w:sz="0" w:space="0" w:color="auto"/>
        <w:bottom w:val="none" w:sz="0" w:space="0" w:color="auto"/>
        <w:right w:val="none" w:sz="0" w:space="0" w:color="auto"/>
      </w:divBdr>
    </w:div>
    <w:div w:id="824248165">
      <w:bodyDiv w:val="1"/>
      <w:marLeft w:val="0"/>
      <w:marRight w:val="0"/>
      <w:marTop w:val="0"/>
      <w:marBottom w:val="0"/>
      <w:divBdr>
        <w:top w:val="none" w:sz="0" w:space="0" w:color="auto"/>
        <w:left w:val="none" w:sz="0" w:space="0" w:color="auto"/>
        <w:bottom w:val="none" w:sz="0" w:space="0" w:color="auto"/>
        <w:right w:val="none" w:sz="0" w:space="0" w:color="auto"/>
      </w:divBdr>
    </w:div>
    <w:div w:id="886644859">
      <w:bodyDiv w:val="1"/>
      <w:marLeft w:val="0"/>
      <w:marRight w:val="0"/>
      <w:marTop w:val="0"/>
      <w:marBottom w:val="0"/>
      <w:divBdr>
        <w:top w:val="none" w:sz="0" w:space="0" w:color="auto"/>
        <w:left w:val="none" w:sz="0" w:space="0" w:color="auto"/>
        <w:bottom w:val="none" w:sz="0" w:space="0" w:color="auto"/>
        <w:right w:val="none" w:sz="0" w:space="0" w:color="auto"/>
      </w:divBdr>
    </w:div>
    <w:div w:id="980965326">
      <w:bodyDiv w:val="1"/>
      <w:marLeft w:val="0"/>
      <w:marRight w:val="0"/>
      <w:marTop w:val="0"/>
      <w:marBottom w:val="0"/>
      <w:divBdr>
        <w:top w:val="none" w:sz="0" w:space="0" w:color="auto"/>
        <w:left w:val="none" w:sz="0" w:space="0" w:color="auto"/>
        <w:bottom w:val="none" w:sz="0" w:space="0" w:color="auto"/>
        <w:right w:val="none" w:sz="0" w:space="0" w:color="auto"/>
      </w:divBdr>
    </w:div>
    <w:div w:id="1022584408">
      <w:bodyDiv w:val="1"/>
      <w:marLeft w:val="0"/>
      <w:marRight w:val="0"/>
      <w:marTop w:val="0"/>
      <w:marBottom w:val="0"/>
      <w:divBdr>
        <w:top w:val="none" w:sz="0" w:space="0" w:color="auto"/>
        <w:left w:val="none" w:sz="0" w:space="0" w:color="auto"/>
        <w:bottom w:val="none" w:sz="0" w:space="0" w:color="auto"/>
        <w:right w:val="none" w:sz="0" w:space="0" w:color="auto"/>
      </w:divBdr>
    </w:div>
    <w:div w:id="1156072042">
      <w:bodyDiv w:val="1"/>
      <w:marLeft w:val="0"/>
      <w:marRight w:val="0"/>
      <w:marTop w:val="0"/>
      <w:marBottom w:val="0"/>
      <w:divBdr>
        <w:top w:val="none" w:sz="0" w:space="0" w:color="auto"/>
        <w:left w:val="none" w:sz="0" w:space="0" w:color="auto"/>
        <w:bottom w:val="none" w:sz="0" w:space="0" w:color="auto"/>
        <w:right w:val="none" w:sz="0" w:space="0" w:color="auto"/>
      </w:divBdr>
    </w:div>
    <w:div w:id="1163007237">
      <w:bodyDiv w:val="1"/>
      <w:marLeft w:val="0"/>
      <w:marRight w:val="0"/>
      <w:marTop w:val="0"/>
      <w:marBottom w:val="0"/>
      <w:divBdr>
        <w:top w:val="none" w:sz="0" w:space="0" w:color="auto"/>
        <w:left w:val="none" w:sz="0" w:space="0" w:color="auto"/>
        <w:bottom w:val="none" w:sz="0" w:space="0" w:color="auto"/>
        <w:right w:val="none" w:sz="0" w:space="0" w:color="auto"/>
      </w:divBdr>
    </w:div>
    <w:div w:id="1262181808">
      <w:bodyDiv w:val="1"/>
      <w:marLeft w:val="0"/>
      <w:marRight w:val="0"/>
      <w:marTop w:val="0"/>
      <w:marBottom w:val="0"/>
      <w:divBdr>
        <w:top w:val="none" w:sz="0" w:space="0" w:color="auto"/>
        <w:left w:val="none" w:sz="0" w:space="0" w:color="auto"/>
        <w:bottom w:val="none" w:sz="0" w:space="0" w:color="auto"/>
        <w:right w:val="none" w:sz="0" w:space="0" w:color="auto"/>
      </w:divBdr>
    </w:div>
    <w:div w:id="1287656648">
      <w:bodyDiv w:val="1"/>
      <w:marLeft w:val="0"/>
      <w:marRight w:val="0"/>
      <w:marTop w:val="0"/>
      <w:marBottom w:val="0"/>
      <w:divBdr>
        <w:top w:val="none" w:sz="0" w:space="0" w:color="auto"/>
        <w:left w:val="none" w:sz="0" w:space="0" w:color="auto"/>
        <w:bottom w:val="none" w:sz="0" w:space="0" w:color="auto"/>
        <w:right w:val="none" w:sz="0" w:space="0" w:color="auto"/>
      </w:divBdr>
    </w:div>
    <w:div w:id="1352954047">
      <w:bodyDiv w:val="1"/>
      <w:marLeft w:val="0"/>
      <w:marRight w:val="0"/>
      <w:marTop w:val="0"/>
      <w:marBottom w:val="0"/>
      <w:divBdr>
        <w:top w:val="none" w:sz="0" w:space="0" w:color="auto"/>
        <w:left w:val="none" w:sz="0" w:space="0" w:color="auto"/>
        <w:bottom w:val="none" w:sz="0" w:space="0" w:color="auto"/>
        <w:right w:val="none" w:sz="0" w:space="0" w:color="auto"/>
      </w:divBdr>
    </w:div>
    <w:div w:id="1456827334">
      <w:bodyDiv w:val="1"/>
      <w:marLeft w:val="0"/>
      <w:marRight w:val="0"/>
      <w:marTop w:val="0"/>
      <w:marBottom w:val="0"/>
      <w:divBdr>
        <w:top w:val="none" w:sz="0" w:space="0" w:color="auto"/>
        <w:left w:val="none" w:sz="0" w:space="0" w:color="auto"/>
        <w:bottom w:val="none" w:sz="0" w:space="0" w:color="auto"/>
        <w:right w:val="none" w:sz="0" w:space="0" w:color="auto"/>
      </w:divBdr>
    </w:div>
    <w:div w:id="1575049976">
      <w:bodyDiv w:val="1"/>
      <w:marLeft w:val="0"/>
      <w:marRight w:val="0"/>
      <w:marTop w:val="0"/>
      <w:marBottom w:val="0"/>
      <w:divBdr>
        <w:top w:val="none" w:sz="0" w:space="0" w:color="auto"/>
        <w:left w:val="none" w:sz="0" w:space="0" w:color="auto"/>
        <w:bottom w:val="none" w:sz="0" w:space="0" w:color="auto"/>
        <w:right w:val="none" w:sz="0" w:space="0" w:color="auto"/>
      </w:divBdr>
    </w:div>
    <w:div w:id="1767921697">
      <w:bodyDiv w:val="1"/>
      <w:marLeft w:val="0"/>
      <w:marRight w:val="0"/>
      <w:marTop w:val="0"/>
      <w:marBottom w:val="0"/>
      <w:divBdr>
        <w:top w:val="none" w:sz="0" w:space="0" w:color="auto"/>
        <w:left w:val="none" w:sz="0" w:space="0" w:color="auto"/>
        <w:bottom w:val="none" w:sz="0" w:space="0" w:color="auto"/>
        <w:right w:val="none" w:sz="0" w:space="0" w:color="auto"/>
      </w:divBdr>
    </w:div>
    <w:div w:id="1817448136">
      <w:bodyDiv w:val="1"/>
      <w:marLeft w:val="0"/>
      <w:marRight w:val="0"/>
      <w:marTop w:val="0"/>
      <w:marBottom w:val="0"/>
      <w:divBdr>
        <w:top w:val="none" w:sz="0" w:space="0" w:color="auto"/>
        <w:left w:val="none" w:sz="0" w:space="0" w:color="auto"/>
        <w:bottom w:val="none" w:sz="0" w:space="0" w:color="auto"/>
        <w:right w:val="none" w:sz="0" w:space="0" w:color="auto"/>
      </w:divBdr>
    </w:div>
    <w:div w:id="1819103620">
      <w:bodyDiv w:val="1"/>
      <w:marLeft w:val="0"/>
      <w:marRight w:val="0"/>
      <w:marTop w:val="0"/>
      <w:marBottom w:val="0"/>
      <w:divBdr>
        <w:top w:val="none" w:sz="0" w:space="0" w:color="auto"/>
        <w:left w:val="none" w:sz="0" w:space="0" w:color="auto"/>
        <w:bottom w:val="none" w:sz="0" w:space="0" w:color="auto"/>
        <w:right w:val="none" w:sz="0" w:space="0" w:color="auto"/>
      </w:divBdr>
    </w:div>
    <w:div w:id="1844391052">
      <w:bodyDiv w:val="1"/>
      <w:marLeft w:val="0"/>
      <w:marRight w:val="0"/>
      <w:marTop w:val="0"/>
      <w:marBottom w:val="0"/>
      <w:divBdr>
        <w:top w:val="none" w:sz="0" w:space="0" w:color="auto"/>
        <w:left w:val="none" w:sz="0" w:space="0" w:color="auto"/>
        <w:bottom w:val="none" w:sz="0" w:space="0" w:color="auto"/>
        <w:right w:val="none" w:sz="0" w:space="0" w:color="auto"/>
      </w:divBdr>
    </w:div>
    <w:div w:id="1910267547">
      <w:bodyDiv w:val="1"/>
      <w:marLeft w:val="0"/>
      <w:marRight w:val="0"/>
      <w:marTop w:val="0"/>
      <w:marBottom w:val="0"/>
      <w:divBdr>
        <w:top w:val="none" w:sz="0" w:space="0" w:color="auto"/>
        <w:left w:val="none" w:sz="0" w:space="0" w:color="auto"/>
        <w:bottom w:val="none" w:sz="0" w:space="0" w:color="auto"/>
        <w:right w:val="none" w:sz="0" w:space="0" w:color="auto"/>
      </w:divBdr>
    </w:div>
    <w:div w:id="1918787037">
      <w:bodyDiv w:val="1"/>
      <w:marLeft w:val="0"/>
      <w:marRight w:val="0"/>
      <w:marTop w:val="0"/>
      <w:marBottom w:val="0"/>
      <w:divBdr>
        <w:top w:val="none" w:sz="0" w:space="0" w:color="auto"/>
        <w:left w:val="none" w:sz="0" w:space="0" w:color="auto"/>
        <w:bottom w:val="none" w:sz="0" w:space="0" w:color="auto"/>
        <w:right w:val="none" w:sz="0" w:space="0" w:color="auto"/>
      </w:divBdr>
    </w:div>
    <w:div w:id="2010402917">
      <w:bodyDiv w:val="1"/>
      <w:marLeft w:val="0"/>
      <w:marRight w:val="0"/>
      <w:marTop w:val="0"/>
      <w:marBottom w:val="0"/>
      <w:divBdr>
        <w:top w:val="none" w:sz="0" w:space="0" w:color="auto"/>
        <w:left w:val="none" w:sz="0" w:space="0" w:color="auto"/>
        <w:bottom w:val="none" w:sz="0" w:space="0" w:color="auto"/>
        <w:right w:val="none" w:sz="0" w:space="0" w:color="auto"/>
      </w:divBdr>
    </w:div>
    <w:div w:id="2051495356">
      <w:bodyDiv w:val="1"/>
      <w:marLeft w:val="0"/>
      <w:marRight w:val="0"/>
      <w:marTop w:val="0"/>
      <w:marBottom w:val="0"/>
      <w:divBdr>
        <w:top w:val="none" w:sz="0" w:space="0" w:color="auto"/>
        <w:left w:val="none" w:sz="0" w:space="0" w:color="auto"/>
        <w:bottom w:val="none" w:sz="0" w:space="0" w:color="auto"/>
        <w:right w:val="none" w:sz="0" w:space="0" w:color="auto"/>
      </w:divBdr>
    </w:div>
    <w:div w:id="2080983171">
      <w:bodyDiv w:val="1"/>
      <w:marLeft w:val="0"/>
      <w:marRight w:val="0"/>
      <w:marTop w:val="0"/>
      <w:marBottom w:val="0"/>
      <w:divBdr>
        <w:top w:val="none" w:sz="0" w:space="0" w:color="auto"/>
        <w:left w:val="none" w:sz="0" w:space="0" w:color="auto"/>
        <w:bottom w:val="none" w:sz="0" w:space="0" w:color="auto"/>
        <w:right w:val="none" w:sz="0" w:space="0" w:color="auto"/>
      </w:divBdr>
    </w:div>
    <w:div w:id="211983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912CC-15B7-4F84-83CC-BF24B288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3584</Words>
  <Characters>20047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Sunnyslope County Water District</vt:lpstr>
    </vt:vector>
  </TitlesOfParts>
  <Company/>
  <LinksUpToDate>false</LinksUpToDate>
  <CharactersWithSpaces>23584</CharactersWithSpaces>
  <SharedDoc>false</SharedDoc>
  <HLinks>
    <vt:vector size="48" baseType="variant">
      <vt:variant>
        <vt:i4>1900598</vt:i4>
      </vt:variant>
      <vt:variant>
        <vt:i4>47</vt:i4>
      </vt:variant>
      <vt:variant>
        <vt:i4>0</vt:i4>
      </vt:variant>
      <vt:variant>
        <vt:i4>5</vt:i4>
      </vt:variant>
      <vt:variant>
        <vt:lpwstr/>
      </vt:variant>
      <vt:variant>
        <vt:lpwstr>_Toc125348631</vt:lpwstr>
      </vt:variant>
      <vt:variant>
        <vt:i4>1900598</vt:i4>
      </vt:variant>
      <vt:variant>
        <vt:i4>41</vt:i4>
      </vt:variant>
      <vt:variant>
        <vt:i4>0</vt:i4>
      </vt:variant>
      <vt:variant>
        <vt:i4>5</vt:i4>
      </vt:variant>
      <vt:variant>
        <vt:lpwstr/>
      </vt:variant>
      <vt:variant>
        <vt:lpwstr>_Toc125348630</vt:lpwstr>
      </vt:variant>
      <vt:variant>
        <vt:i4>1835062</vt:i4>
      </vt:variant>
      <vt:variant>
        <vt:i4>35</vt:i4>
      </vt:variant>
      <vt:variant>
        <vt:i4>0</vt:i4>
      </vt:variant>
      <vt:variant>
        <vt:i4>5</vt:i4>
      </vt:variant>
      <vt:variant>
        <vt:lpwstr/>
      </vt:variant>
      <vt:variant>
        <vt:lpwstr>_Toc125348629</vt:lpwstr>
      </vt:variant>
      <vt:variant>
        <vt:i4>1835062</vt:i4>
      </vt:variant>
      <vt:variant>
        <vt:i4>29</vt:i4>
      </vt:variant>
      <vt:variant>
        <vt:i4>0</vt:i4>
      </vt:variant>
      <vt:variant>
        <vt:i4>5</vt:i4>
      </vt:variant>
      <vt:variant>
        <vt:lpwstr/>
      </vt:variant>
      <vt:variant>
        <vt:lpwstr>_Toc125348628</vt:lpwstr>
      </vt:variant>
      <vt:variant>
        <vt:i4>1835062</vt:i4>
      </vt:variant>
      <vt:variant>
        <vt:i4>23</vt:i4>
      </vt:variant>
      <vt:variant>
        <vt:i4>0</vt:i4>
      </vt:variant>
      <vt:variant>
        <vt:i4>5</vt:i4>
      </vt:variant>
      <vt:variant>
        <vt:lpwstr/>
      </vt:variant>
      <vt:variant>
        <vt:lpwstr>_Toc125348627</vt:lpwstr>
      </vt:variant>
      <vt:variant>
        <vt:i4>1835062</vt:i4>
      </vt:variant>
      <vt:variant>
        <vt:i4>17</vt:i4>
      </vt:variant>
      <vt:variant>
        <vt:i4>0</vt:i4>
      </vt:variant>
      <vt:variant>
        <vt:i4>5</vt:i4>
      </vt:variant>
      <vt:variant>
        <vt:lpwstr/>
      </vt:variant>
      <vt:variant>
        <vt:lpwstr>_Toc125348626</vt:lpwstr>
      </vt:variant>
      <vt:variant>
        <vt:i4>1835062</vt:i4>
      </vt:variant>
      <vt:variant>
        <vt:i4>11</vt:i4>
      </vt:variant>
      <vt:variant>
        <vt:i4>0</vt:i4>
      </vt:variant>
      <vt:variant>
        <vt:i4>5</vt:i4>
      </vt:variant>
      <vt:variant>
        <vt:lpwstr/>
      </vt:variant>
      <vt:variant>
        <vt:lpwstr>_Toc125348625</vt:lpwstr>
      </vt:variant>
      <vt:variant>
        <vt:i4>1835062</vt:i4>
      </vt:variant>
      <vt:variant>
        <vt:i4>5</vt:i4>
      </vt:variant>
      <vt:variant>
        <vt:i4>0</vt:i4>
      </vt:variant>
      <vt:variant>
        <vt:i4>5</vt:i4>
      </vt:variant>
      <vt:variant>
        <vt:lpwstr/>
      </vt:variant>
      <vt:variant>
        <vt:lpwstr>_Toc125348624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Sunnyslope County Water District</dc:title>
  <dc:subject/>
  <dc:creator>Matthew Van Horne</dc:creator>
  <cp:keywords/>
  <dc:description>RMC 2005 Version 2.1</dc:description>
  <cp:lastModifiedBy>Robert Hillebrecht</cp:lastModifiedBy>
  <cp:revision>3</cp:revision>
  <cp:lastPrinted>2020-10-16T20:23:00Z</cp:lastPrinted>
  <dcterms:created xsi:type="dcterms:W3CDTF">2020-01-23T18:52:00Z</dcterms:created>
  <dcterms:modified xsi:type="dcterms:W3CDTF">2020-10-16T21:53:00Z</dcterms:modified>
</cp:coreProperties>
</file>